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BA9" w:rsidRDefault="00115BA9" w:rsidP="00115BA9">
      <w:pPr>
        <w:tabs>
          <w:tab w:val="right" w:pos="9072"/>
        </w:tabs>
        <w:jc w:val="both"/>
        <w:outlineLvl w:val="0"/>
        <w:rPr>
          <w:rFonts w:ascii="Arial" w:eastAsia="宋体" w:hAnsi="Arial"/>
          <w:b/>
          <w:i/>
          <w:sz w:val="24"/>
          <w:lang w:val="en-US" w:eastAsia="zh-CN"/>
        </w:rPr>
      </w:pPr>
      <w:r>
        <w:rPr>
          <w:rFonts w:ascii="Arial" w:hAnsi="Arial" w:cs="Arial"/>
          <w:b/>
          <w:sz w:val="24"/>
        </w:rPr>
        <w:t xml:space="preserve">3GPP TSG-RAN WG4 Meeting </w:t>
      </w:r>
      <w:r>
        <w:rPr>
          <w:rFonts w:ascii="Arial" w:hAnsi="Arial" w:cs="Arial" w:hint="eastAsia"/>
          <w:b/>
          <w:sz w:val="24"/>
          <w:lang w:eastAsia="zh-CN"/>
        </w:rPr>
        <w:t>#</w:t>
      </w:r>
      <w:r>
        <w:rPr>
          <w:rFonts w:ascii="Arial" w:hAnsi="Arial" w:cs="Arial" w:hint="eastAsia"/>
          <w:b/>
          <w:sz w:val="24"/>
          <w:lang w:val="en-US" w:eastAsia="zh-CN"/>
        </w:rPr>
        <w:t>1</w:t>
      </w:r>
      <w:r>
        <w:rPr>
          <w:rFonts w:ascii="Arial" w:hAnsi="Arial" w:cs="Arial"/>
          <w:b/>
          <w:sz w:val="24"/>
          <w:lang w:val="en-US" w:eastAsia="zh-CN"/>
        </w:rPr>
        <w:t>10</w:t>
      </w:r>
      <w:r>
        <w:rPr>
          <w:rFonts w:ascii="Arial" w:eastAsia="MS Mincho" w:hAnsi="Arial"/>
          <w:b/>
          <w:sz w:val="24"/>
        </w:rPr>
        <w:tab/>
      </w:r>
      <w:r>
        <w:rPr>
          <w:rFonts w:ascii="Arial" w:hAnsi="Arial"/>
          <w:b/>
          <w:sz w:val="24"/>
          <w:lang w:eastAsia="zh-CN"/>
        </w:rPr>
        <w:t>R4-2</w:t>
      </w:r>
      <w:r w:rsidR="0073480D">
        <w:rPr>
          <w:rFonts w:ascii="Arial" w:hAnsi="Arial"/>
          <w:b/>
          <w:sz w:val="24"/>
          <w:lang w:val="en-US" w:eastAsia="zh-CN"/>
        </w:rPr>
        <w:t>401821</w:t>
      </w:r>
      <w:bookmarkStart w:id="0" w:name="_GoBack"/>
      <w:bookmarkEnd w:id="0"/>
    </w:p>
    <w:p w:rsidR="00115BA9" w:rsidRDefault="00115BA9" w:rsidP="00115BA9">
      <w:pPr>
        <w:tabs>
          <w:tab w:val="left" w:pos="3106"/>
          <w:tab w:val="center" w:pos="4536"/>
          <w:tab w:val="right" w:pos="9072"/>
        </w:tabs>
        <w:jc w:val="both"/>
        <w:outlineLvl w:val="0"/>
        <w:rPr>
          <w:rFonts w:ascii="Arial" w:eastAsia="宋体" w:hAnsi="Arial"/>
          <w:b/>
          <w:sz w:val="24"/>
          <w:lang w:eastAsia="zh-CN"/>
        </w:rPr>
      </w:pPr>
      <w:r>
        <w:rPr>
          <w:rFonts w:ascii="Arial" w:eastAsia="宋体" w:hAnsi="Arial"/>
          <w:b/>
          <w:sz w:val="24"/>
          <w:lang w:val="en-US" w:eastAsia="zh-CN"/>
        </w:rPr>
        <w:t>Athens</w:t>
      </w:r>
      <w:r>
        <w:rPr>
          <w:rFonts w:ascii="Arial" w:eastAsia="宋体" w:hAnsi="Arial"/>
          <w:b/>
          <w:sz w:val="24"/>
          <w:lang w:eastAsia="zh-CN"/>
        </w:rPr>
        <w:t>,</w:t>
      </w:r>
      <w:r>
        <w:rPr>
          <w:rFonts w:ascii="Arial" w:eastAsia="宋体" w:hAnsi="Arial" w:hint="eastAsia"/>
          <w:b/>
          <w:sz w:val="24"/>
          <w:lang w:val="en-US" w:eastAsia="zh-CN"/>
        </w:rPr>
        <w:t xml:space="preserve"> </w:t>
      </w:r>
      <w:r>
        <w:rPr>
          <w:rFonts w:ascii="Arial" w:eastAsia="宋体" w:hAnsi="Arial"/>
          <w:b/>
          <w:sz w:val="24"/>
          <w:lang w:val="en-US" w:eastAsia="zh-CN"/>
        </w:rPr>
        <w:t>Greece</w:t>
      </w:r>
      <w:r>
        <w:rPr>
          <w:rFonts w:ascii="Arial" w:eastAsia="宋体" w:hAnsi="Arial" w:hint="eastAsia"/>
          <w:b/>
          <w:sz w:val="24"/>
          <w:lang w:val="en-US" w:eastAsia="zh-CN"/>
        </w:rPr>
        <w:t>,</w:t>
      </w:r>
      <w:r>
        <w:rPr>
          <w:rFonts w:ascii="Arial" w:eastAsia="宋体" w:hAnsi="Arial"/>
          <w:b/>
          <w:sz w:val="24"/>
          <w:lang w:eastAsia="zh-CN"/>
        </w:rPr>
        <w:t xml:space="preserve"> </w:t>
      </w:r>
      <w:r>
        <w:rPr>
          <w:rFonts w:ascii="Arial" w:eastAsia="宋体" w:hAnsi="Arial"/>
          <w:b/>
          <w:sz w:val="24"/>
          <w:lang w:val="en-US" w:eastAsia="zh-CN"/>
        </w:rPr>
        <w:t>26</w:t>
      </w:r>
      <w:r w:rsidRPr="00A26881">
        <w:rPr>
          <w:rFonts w:ascii="Arial" w:eastAsia="宋体" w:hAnsi="Arial"/>
          <w:b/>
          <w:sz w:val="24"/>
          <w:vertAlign w:val="superscript"/>
          <w:lang w:val="en-US" w:eastAsia="zh-CN"/>
        </w:rPr>
        <w:t>th</w:t>
      </w:r>
      <w:r>
        <w:rPr>
          <w:rFonts w:ascii="Arial" w:eastAsia="宋体" w:hAnsi="Arial"/>
          <w:b/>
          <w:sz w:val="24"/>
          <w:lang w:val="en-US" w:eastAsia="zh-CN"/>
        </w:rPr>
        <w:t xml:space="preserve"> Feb</w:t>
      </w:r>
      <w:r>
        <w:rPr>
          <w:rFonts w:ascii="Arial" w:eastAsia="宋体" w:hAnsi="Arial" w:cs="Arial" w:hint="eastAsia"/>
          <w:b/>
          <w:bCs/>
          <w:sz w:val="24"/>
          <w:szCs w:val="24"/>
          <w:lang w:val="en-US" w:eastAsia="zh-CN"/>
        </w:rPr>
        <w:t xml:space="preserve"> </w:t>
      </w:r>
      <w:r>
        <w:rPr>
          <w:rFonts w:ascii="Arial" w:hAnsi="Arial" w:cs="Arial"/>
          <w:b/>
          <w:bCs/>
          <w:sz w:val="24"/>
          <w:szCs w:val="24"/>
        </w:rPr>
        <w:t>–</w:t>
      </w:r>
      <w:r>
        <w:rPr>
          <w:rFonts w:ascii="Arial" w:eastAsia="宋体" w:hAnsi="Arial" w:cs="Arial" w:hint="eastAsia"/>
          <w:b/>
          <w:bCs/>
          <w:sz w:val="24"/>
          <w:szCs w:val="24"/>
          <w:lang w:val="en-US" w:eastAsia="zh-CN"/>
        </w:rPr>
        <w:t xml:space="preserve"> </w:t>
      </w:r>
      <w:r>
        <w:rPr>
          <w:rFonts w:ascii="Arial" w:eastAsia="宋体" w:hAnsi="Arial" w:cs="Arial"/>
          <w:b/>
          <w:bCs/>
          <w:sz w:val="24"/>
          <w:szCs w:val="24"/>
          <w:lang w:val="en-US" w:eastAsia="zh-CN"/>
        </w:rPr>
        <w:t>1</w:t>
      </w:r>
      <w:r w:rsidRPr="00A26881">
        <w:rPr>
          <w:rFonts w:ascii="Arial" w:eastAsia="宋体" w:hAnsi="Arial" w:cs="Arial"/>
          <w:b/>
          <w:bCs/>
          <w:sz w:val="24"/>
          <w:szCs w:val="24"/>
          <w:vertAlign w:val="superscript"/>
          <w:lang w:val="en-US" w:eastAsia="zh-CN"/>
        </w:rPr>
        <w:t>st</w:t>
      </w:r>
      <w:r>
        <w:rPr>
          <w:rFonts w:ascii="Arial" w:hAnsi="Arial" w:cs="Arial"/>
          <w:b/>
          <w:bCs/>
          <w:sz w:val="24"/>
          <w:szCs w:val="24"/>
        </w:rPr>
        <w:t xml:space="preserve"> </w:t>
      </w:r>
      <w:r>
        <w:rPr>
          <w:rFonts w:ascii="Arial" w:eastAsia="宋体" w:hAnsi="Arial" w:cs="Arial"/>
          <w:b/>
          <w:bCs/>
          <w:sz w:val="24"/>
          <w:szCs w:val="24"/>
          <w:lang w:val="en-US" w:eastAsia="zh-CN"/>
        </w:rPr>
        <w:t>March</w:t>
      </w:r>
      <w:r>
        <w:rPr>
          <w:rFonts w:ascii="Arial" w:eastAsia="宋体" w:hAnsi="Arial"/>
          <w:b/>
          <w:sz w:val="24"/>
          <w:lang w:eastAsia="zh-CN"/>
        </w:rPr>
        <w:t>, 202</w:t>
      </w:r>
      <w:r>
        <w:rPr>
          <w:rFonts w:ascii="Arial" w:eastAsia="宋体" w:hAnsi="Arial"/>
          <w:b/>
          <w:sz w:val="24"/>
          <w:lang w:val="en-US" w:eastAsia="zh-CN"/>
        </w:rPr>
        <w:t>4</w:t>
      </w:r>
    </w:p>
    <w:p w:rsidR="005003C7" w:rsidRPr="00115BA9" w:rsidRDefault="005003C7">
      <w:pPr>
        <w:tabs>
          <w:tab w:val="left" w:pos="3106"/>
          <w:tab w:val="center" w:pos="4536"/>
          <w:tab w:val="right" w:pos="9072"/>
        </w:tabs>
        <w:jc w:val="both"/>
        <w:rPr>
          <w:rFonts w:ascii="Arial" w:eastAsia="宋体" w:hAnsi="Arial"/>
          <w:b/>
          <w:sz w:val="24"/>
          <w:lang w:eastAsia="ja-JP"/>
        </w:rPr>
      </w:pPr>
    </w:p>
    <w:p w:rsidR="005003C7" w:rsidRDefault="00204F37">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p>
    <w:p w:rsidR="005003C7" w:rsidRDefault="00204F37">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Discussion on NR-NTN deployment in above 10GHz bands</w:t>
      </w:r>
    </w:p>
    <w:p w:rsidR="005003C7" w:rsidRDefault="00204F37">
      <w:pPr>
        <w:tabs>
          <w:tab w:val="left" w:pos="1985"/>
        </w:tabs>
        <w:spacing w:after="12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115BA9">
        <w:rPr>
          <w:rFonts w:ascii="Arial" w:eastAsia="宋体" w:hAnsi="Arial" w:cs="Arial" w:hint="eastAsia"/>
          <w:b/>
          <w:bCs/>
          <w:sz w:val="24"/>
          <w:lang w:val="en-US" w:eastAsia="zh-CN"/>
        </w:rPr>
        <w:t>8.</w:t>
      </w:r>
      <w:r w:rsidR="00115BA9">
        <w:rPr>
          <w:rFonts w:ascii="Arial" w:eastAsia="宋体" w:hAnsi="Arial" w:cs="Arial"/>
          <w:b/>
          <w:bCs/>
          <w:sz w:val="24"/>
          <w:lang w:val="en-US" w:eastAsia="zh-CN"/>
        </w:rPr>
        <w:t>18</w:t>
      </w:r>
      <w:r>
        <w:rPr>
          <w:rFonts w:ascii="Arial" w:eastAsia="宋体" w:hAnsi="Arial" w:cs="Arial" w:hint="eastAsia"/>
          <w:b/>
          <w:bCs/>
          <w:sz w:val="24"/>
          <w:lang w:val="en-US" w:eastAsia="zh-CN"/>
        </w:rPr>
        <w:t>.6.1</w:t>
      </w:r>
    </w:p>
    <w:p w:rsidR="005003C7" w:rsidRDefault="00204F37">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rsidR="005003C7" w:rsidRDefault="00204F37">
      <w:pPr>
        <w:pStyle w:val="RAN4H1"/>
        <w:rPr>
          <w:lang w:val="en-US"/>
        </w:rPr>
      </w:pPr>
      <w:r>
        <w:rPr>
          <w:lang w:val="en-US"/>
        </w:rPr>
        <w:t>Intro</w:t>
      </w:r>
      <w:r>
        <w:rPr>
          <w:rStyle w:val="RAN4H1Char"/>
          <w:lang w:val="en-US"/>
        </w:rPr>
        <w:t>ductio</w:t>
      </w:r>
      <w:r>
        <w:rPr>
          <w:lang w:val="en-US"/>
        </w:rPr>
        <w:t>n</w:t>
      </w:r>
    </w:p>
    <w:p w:rsidR="005003C7" w:rsidRDefault="00204F37">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color w:val="000000"/>
          <w:sz w:val="22"/>
          <w:szCs w:val="22"/>
          <w:lang w:val="en-US" w:eastAsia="zh-CN"/>
        </w:rPr>
        <w:t xml:space="preserve"> </w:t>
      </w:r>
      <w:r>
        <w:rPr>
          <w:color w:val="000000"/>
          <w:sz w:val="22"/>
          <w:szCs w:val="22"/>
          <w:lang w:val="en-US"/>
        </w:rPr>
        <w:t>At RAN 9</w:t>
      </w:r>
      <w:r>
        <w:rPr>
          <w:rFonts w:eastAsia="宋体" w:hint="eastAsia"/>
          <w:color w:val="000000"/>
          <w:sz w:val="22"/>
          <w:szCs w:val="22"/>
          <w:lang w:val="en-US" w:eastAsia="zh-CN"/>
        </w:rPr>
        <w:t>8-e</w:t>
      </w:r>
      <w:r>
        <w:rPr>
          <w:color w:val="000000"/>
          <w:sz w:val="22"/>
          <w:szCs w:val="22"/>
          <w:lang w:val="en-US"/>
        </w:rPr>
        <w:t xml:space="preserve"> meeting the revised WI “</w:t>
      </w:r>
      <w:r>
        <w:rPr>
          <w:rFonts w:hint="eastAsia"/>
        </w:rPr>
        <w:t>NR NTN (Non-Terrestrial Networks) enhancements</w:t>
      </w:r>
      <w:r>
        <w:rPr>
          <w:color w:val="000000"/>
          <w:sz w:val="22"/>
          <w:szCs w:val="22"/>
          <w:lang w:val="en-US"/>
        </w:rPr>
        <w:t xml:space="preserve">” [1] was approved. </w:t>
      </w:r>
      <w:r>
        <w:rPr>
          <w:rFonts w:eastAsia="宋体" w:hint="eastAsia"/>
          <w:color w:val="000000"/>
          <w:sz w:val="22"/>
          <w:szCs w:val="22"/>
          <w:lang w:val="en-US" w:eastAsia="zh-CN"/>
        </w:rPr>
        <w:t xml:space="preserve"> </w:t>
      </w:r>
      <w:r>
        <w:rPr>
          <w:rFonts w:eastAsia="宋体" w:hint="eastAsia"/>
          <w:sz w:val="22"/>
          <w:lang w:val="en-US" w:eastAsia="zh-CN"/>
        </w:rPr>
        <w:t xml:space="preserve">In the previous meeting, we discussed the basic scenarios and the set of requirements which includes RRM requirements relevant to NTN and what we discussed before were captured in [2]. </w:t>
      </w:r>
    </w:p>
    <w:p w:rsidR="005003C7" w:rsidRDefault="00204F37">
      <w:pPr>
        <w:pStyle w:val="RAN4H1"/>
        <w:rPr>
          <w:lang w:val="en-US"/>
        </w:rPr>
      </w:pPr>
      <w:r>
        <w:rPr>
          <w:lang w:val="en-US"/>
        </w:rPr>
        <w:t>Discussion</w:t>
      </w:r>
    </w:p>
    <w:p w:rsidR="005003C7" w:rsidRDefault="00204F37">
      <w:pPr>
        <w:rPr>
          <w:sz w:val="22"/>
          <w:szCs w:val="22"/>
          <w:lang w:val="en-US" w:eastAsia="zh-CN"/>
        </w:rPr>
      </w:pPr>
      <w:r>
        <w:rPr>
          <w:rFonts w:hint="eastAsia"/>
          <w:sz w:val="22"/>
          <w:szCs w:val="22"/>
          <w:lang w:val="en-US" w:eastAsia="zh-CN"/>
        </w:rPr>
        <w:t xml:space="preserve">The objectives of Rel-18 NTN enhancement are described in [1] including:  </w:t>
      </w:r>
    </w:p>
    <w:tbl>
      <w:tblPr>
        <w:tblStyle w:val="ab"/>
        <w:tblW w:w="0" w:type="auto"/>
        <w:tblLook w:val="04A0" w:firstRow="1" w:lastRow="0" w:firstColumn="1" w:lastColumn="0" w:noHBand="0" w:noVBand="1"/>
      </w:tblPr>
      <w:tblGrid>
        <w:gridCol w:w="9629"/>
      </w:tblGrid>
      <w:tr w:rsidR="005003C7">
        <w:tc>
          <w:tcPr>
            <w:tcW w:w="9629" w:type="dxa"/>
          </w:tcPr>
          <w:p w:rsidR="005003C7" w:rsidRDefault="00204F37">
            <w:pPr>
              <w:spacing w:beforeLines="50" w:before="120" w:afterLines="50" w:after="120"/>
              <w:rPr>
                <w:rFonts w:eastAsia="宋体"/>
                <w:bCs/>
                <w:highlight w:val="yellow"/>
              </w:rPr>
            </w:pPr>
            <w:r>
              <w:rPr>
                <w:rFonts w:eastAsia="宋体" w:hint="eastAsia"/>
                <w:bCs/>
                <w:highlight w:val="yellow"/>
                <w:lang w:val="en-US" w:eastAsia="zh-CN"/>
              </w:rPr>
              <w:t xml:space="preserve">2.1 </w:t>
            </w:r>
            <w:r>
              <w:rPr>
                <w:rFonts w:eastAsia="宋体"/>
                <w:bCs/>
                <w:highlight w:val="yellow"/>
              </w:rPr>
              <w:tab/>
              <w:t>NR-NTN deployment in above 10 GHz bands</w:t>
            </w:r>
          </w:p>
          <w:p w:rsidR="005003C7" w:rsidRDefault="00204F37">
            <w:pPr>
              <w:spacing w:beforeLines="50" w:before="120" w:afterLines="50" w:after="120"/>
              <w:rPr>
                <w:rFonts w:eastAsia="宋体"/>
              </w:rPr>
            </w:pPr>
            <w:r>
              <w:rPr>
                <w:rFonts w:eastAsia="宋体" w:hint="eastAsia"/>
                <w:bCs/>
                <w:lang w:val="en-US" w:eastAsia="zh-CN"/>
              </w:rPr>
              <w:t xml:space="preserve">2.2 </w:t>
            </w:r>
            <w:r>
              <w:rPr>
                <w:rFonts w:eastAsia="宋体"/>
                <w:bCs/>
              </w:rPr>
              <w:tab/>
              <w:t>NTN-TN and NTN-NTN mobility and service continuity enhancements</w:t>
            </w:r>
          </w:p>
        </w:tc>
      </w:tr>
    </w:tbl>
    <w:p w:rsidR="005003C7" w:rsidRDefault="00204F37">
      <w:pPr>
        <w:overflowPunct w:val="0"/>
        <w:autoSpaceDE w:val="0"/>
        <w:autoSpaceDN w:val="0"/>
        <w:adjustRightInd w:val="0"/>
        <w:spacing w:before="120" w:after="120" w:line="360" w:lineRule="auto"/>
        <w:jc w:val="both"/>
        <w:textAlignment w:val="baseline"/>
        <w:rPr>
          <w:lang w:val="en-US" w:eastAsia="zh-CN"/>
        </w:rPr>
      </w:pPr>
      <w:r>
        <w:rPr>
          <w:rFonts w:eastAsia="宋体" w:hint="eastAsia"/>
          <w:sz w:val="22"/>
          <w:lang w:val="en-US" w:eastAsia="zh-CN"/>
        </w:rPr>
        <w:t>In this meeting, we will discuss the scenarios and express our views on potential impact to RRM requirements towards the first objective as below:</w:t>
      </w:r>
    </w:p>
    <w:p w:rsidR="005003C7" w:rsidRDefault="00204F37">
      <w:pPr>
        <w:pStyle w:val="RAN4H2"/>
        <w:numPr>
          <w:ilvl w:val="1"/>
          <w:numId w:val="0"/>
        </w:numPr>
        <w:rPr>
          <w:lang w:eastAsia="zh-CN"/>
        </w:rPr>
      </w:pPr>
      <w:r>
        <w:rPr>
          <w:rFonts w:hint="eastAsia"/>
          <w:lang w:eastAsia="zh-CN"/>
        </w:rPr>
        <w:t>2.1 NR-NTN deployment in above 10 GHz bands</w:t>
      </w:r>
    </w:p>
    <w:p w:rsidR="005003C7" w:rsidRDefault="00204F37">
      <w:pPr>
        <w:rPr>
          <w:sz w:val="22"/>
          <w:szCs w:val="22"/>
          <w:lang w:val="en-US" w:eastAsia="zh-CN"/>
        </w:rPr>
      </w:pPr>
      <w:r>
        <w:rPr>
          <w:rFonts w:hint="eastAsia"/>
          <w:sz w:val="22"/>
          <w:szCs w:val="22"/>
          <w:lang w:val="en-US" w:eastAsia="zh-CN"/>
        </w:rPr>
        <w:t>RAN4 shall define the RRM requirements based on the latest revised WID as below:</w:t>
      </w:r>
    </w:p>
    <w:tbl>
      <w:tblPr>
        <w:tblStyle w:val="ab"/>
        <w:tblW w:w="0" w:type="auto"/>
        <w:tblLook w:val="04A0" w:firstRow="1" w:lastRow="0" w:firstColumn="1" w:lastColumn="0" w:noHBand="0" w:noVBand="1"/>
      </w:tblPr>
      <w:tblGrid>
        <w:gridCol w:w="9629"/>
      </w:tblGrid>
      <w:tr w:rsidR="005003C7">
        <w:tc>
          <w:tcPr>
            <w:tcW w:w="9629" w:type="dxa"/>
          </w:tcPr>
          <w:p w:rsidR="005003C7" w:rsidRDefault="00204F37">
            <w:pPr>
              <w:spacing w:after="0"/>
              <w:rPr>
                <w:bCs/>
              </w:rPr>
            </w:pPr>
            <w:r>
              <w:rPr>
                <w:bCs/>
              </w:rPr>
              <w:t>The following assumptions are taken a baseline for this work:</w:t>
            </w:r>
          </w:p>
          <w:p w:rsidR="005003C7" w:rsidRDefault="00204F37">
            <w:pPr>
              <w:numPr>
                <w:ilvl w:val="0"/>
                <w:numId w:val="4"/>
              </w:numPr>
              <w:spacing w:after="0"/>
              <w:rPr>
                <w:bCs/>
              </w:rPr>
            </w:pPr>
            <w:r>
              <w:rPr>
                <w:bCs/>
              </w:rPr>
              <w:t>GSO and NGSO (e.g. LEO, MEO, HEO) based satellite access to be considered</w:t>
            </w:r>
          </w:p>
          <w:p w:rsidR="005003C7" w:rsidRDefault="00204F37">
            <w:pPr>
              <w:numPr>
                <w:ilvl w:val="1"/>
                <w:numId w:val="4"/>
              </w:numPr>
              <w:spacing w:after="0"/>
              <w:rPr>
                <w:bCs/>
              </w:rPr>
            </w:pPr>
            <w:r>
              <w:rPr>
                <w:bCs/>
              </w:rPr>
              <w:t xml:space="preserve">ESIM scenarios for NGSO in </w:t>
            </w:r>
            <w:proofErr w:type="spellStart"/>
            <w:r>
              <w:rPr>
                <w:bCs/>
              </w:rPr>
              <w:t>Ka</w:t>
            </w:r>
            <w:proofErr w:type="spellEnd"/>
            <w:r>
              <w:rPr>
                <w:bCs/>
              </w:rPr>
              <w:t xml:space="preserve"> band are not considered in this WI. </w:t>
            </w:r>
          </w:p>
          <w:p w:rsidR="005003C7" w:rsidRDefault="00204F37">
            <w:pPr>
              <w:numPr>
                <w:ilvl w:val="0"/>
                <w:numId w:val="4"/>
              </w:numPr>
              <w:spacing w:after="0"/>
              <w:rPr>
                <w:bCs/>
              </w:rPr>
            </w:pPr>
            <w:r>
              <w:rPr>
                <w:bCs/>
              </w:rPr>
              <w:t>Targeted UE types: fixed and mobile VSAT. VSAT UE characteristics from TR38.821 to be considered in priority but additional NTN UE classes may be considered if justified</w:t>
            </w:r>
          </w:p>
          <w:p w:rsidR="005003C7" w:rsidRDefault="00204F37">
            <w:pPr>
              <w:numPr>
                <w:ilvl w:val="1"/>
                <w:numId w:val="4"/>
              </w:numPr>
              <w:spacing w:after="0"/>
              <w:rPr>
                <w:bCs/>
              </w:rPr>
            </w:pPr>
            <w:r>
              <w:rPr>
                <w:bCs/>
              </w:rPr>
              <w:t>Regarding mobile VSAT, three types of terminal and scenario exist; airborne, maritime and land based ESIM.</w:t>
            </w:r>
            <w:r>
              <w:t xml:space="preserve"> </w:t>
            </w:r>
            <w:r>
              <w:rPr>
                <w:bCs/>
              </w:rPr>
              <w:t>Which type(s) to be specified depends on the outcome of the regulation analysis and co-existence study.</w:t>
            </w:r>
          </w:p>
          <w:p w:rsidR="005003C7" w:rsidRDefault="00204F37">
            <w:pPr>
              <w:numPr>
                <w:ilvl w:val="0"/>
                <w:numId w:val="4"/>
              </w:numPr>
              <w:spacing w:after="0"/>
              <w:rPr>
                <w:bCs/>
              </w:rPr>
            </w:pPr>
            <w:r>
              <w:rPr>
                <w:bCs/>
              </w:rPr>
              <w:t>FDD mode is assumed for satellite operation above 10 GHz, while TDD mode is assumed for terrestrial operation in FR2</w:t>
            </w:r>
          </w:p>
          <w:p w:rsidR="005003C7" w:rsidRDefault="00204F37">
            <w:pPr>
              <w:numPr>
                <w:ilvl w:val="0"/>
                <w:numId w:val="4"/>
              </w:numPr>
              <w:spacing w:after="0"/>
              <w:rPr>
                <w:bCs/>
              </w:rPr>
            </w:pPr>
            <w:r>
              <w:rPr>
                <w:bCs/>
              </w:rPr>
              <w:t xml:space="preserve">The ITU-R harmonized </w:t>
            </w:r>
            <w:proofErr w:type="spellStart"/>
            <w:r>
              <w:rPr>
                <w:bCs/>
              </w:rPr>
              <w:t>Ka</w:t>
            </w:r>
            <w:proofErr w:type="spellEnd"/>
            <w:r>
              <w:rPr>
                <w:bCs/>
              </w:rPr>
              <w:t xml:space="preserve"> band will serve as reference</w:t>
            </w:r>
          </w:p>
          <w:p w:rsidR="005003C7" w:rsidRDefault="00204F37">
            <w:pPr>
              <w:numPr>
                <w:ilvl w:val="0"/>
                <w:numId w:val="4"/>
              </w:numPr>
              <w:spacing w:after="0"/>
              <w:rPr>
                <w:bCs/>
              </w:rPr>
            </w:pPr>
            <w:r>
              <w:rPr>
                <w:bCs/>
              </w:rPr>
              <w:t>Co-existence between overlapping NTN and TN band portions is out of scope of this work item. This aspect will be captured in the specification.</w:t>
            </w:r>
          </w:p>
          <w:p w:rsidR="005003C7" w:rsidRDefault="005003C7">
            <w:pPr>
              <w:spacing w:after="0"/>
              <w:rPr>
                <w:bCs/>
              </w:rPr>
            </w:pPr>
          </w:p>
          <w:p w:rsidR="005003C7" w:rsidRDefault="00204F37">
            <w:pPr>
              <w:spacing w:after="0"/>
              <w:rPr>
                <w:bCs/>
              </w:rPr>
            </w:pPr>
            <w:r>
              <w:rPr>
                <w:bCs/>
              </w:rPr>
              <w:t>The following covers the objectives for NR-NTN deployment in above 10 GHz bands. This work is expected to start after June 2022.</w:t>
            </w:r>
          </w:p>
          <w:p w:rsidR="005003C7" w:rsidRDefault="005003C7">
            <w:pPr>
              <w:spacing w:after="0"/>
              <w:rPr>
                <w:bCs/>
              </w:rPr>
            </w:pPr>
          </w:p>
          <w:p w:rsidR="005003C7" w:rsidRDefault="00204F37">
            <w:pPr>
              <w:numPr>
                <w:ilvl w:val="0"/>
                <w:numId w:val="5"/>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rsidR="005003C7" w:rsidRDefault="00204F37">
            <w:pPr>
              <w:numPr>
                <w:ilvl w:val="0"/>
                <w:numId w:val="5"/>
              </w:numPr>
              <w:spacing w:after="0"/>
              <w:rPr>
                <w:bCs/>
              </w:rPr>
            </w:pPr>
            <w:r>
              <w:rPr>
                <w:bCs/>
              </w:rPr>
              <w:lastRenderedPageBreak/>
              <w:t>Specify Rx/</w:t>
            </w:r>
            <w:proofErr w:type="spellStart"/>
            <w:r>
              <w:rPr>
                <w:bCs/>
              </w:rPr>
              <w:t>Tx</w:t>
            </w:r>
            <w:proofErr w:type="spellEnd"/>
            <w:r>
              <w:rPr>
                <w:bCs/>
              </w:rPr>
              <w:t xml:space="preserve"> requirements for satellite access node and different VSAT UE class (not only 60 cm aperture) as appropriate for the identified example band [RAN4]</w:t>
            </w:r>
          </w:p>
          <w:p w:rsidR="005003C7" w:rsidRDefault="00204F37">
            <w:pPr>
              <w:numPr>
                <w:ilvl w:val="0"/>
                <w:numId w:val="5"/>
              </w:numPr>
              <w:spacing w:after="0"/>
              <w:rPr>
                <w:bCs/>
              </w:rPr>
            </w:pPr>
            <w:r>
              <w:rPr>
                <w:bCs/>
              </w:rPr>
              <w:t>Identify values for physical layer parameters chosen from the existing FR1 and FR2 sets. The following set of parameters to specify, but not necessarily limited to, are listed.as follows [RAN4]:</w:t>
            </w:r>
          </w:p>
          <w:p w:rsidR="005003C7" w:rsidRDefault="00204F37">
            <w:pPr>
              <w:numPr>
                <w:ilvl w:val="1"/>
                <w:numId w:val="5"/>
              </w:numPr>
              <w:spacing w:after="0"/>
              <w:rPr>
                <w:bCs/>
              </w:rPr>
            </w:pPr>
            <w:r>
              <w:rPr>
                <w:bCs/>
              </w:rPr>
              <w:t xml:space="preserve">time relationship related enhancement (e.g. </w:t>
            </w:r>
            <w:proofErr w:type="spellStart"/>
            <w:r>
              <w:rPr>
                <w:bCs/>
              </w:rPr>
              <w:t>K_offset</w:t>
            </w:r>
            <w:proofErr w:type="spellEnd"/>
            <w:r>
              <w:rPr>
                <w:bCs/>
              </w:rPr>
              <w:t>)</w:t>
            </w:r>
          </w:p>
          <w:p w:rsidR="005003C7" w:rsidRDefault="00204F37">
            <w:pPr>
              <w:numPr>
                <w:ilvl w:val="1"/>
                <w:numId w:val="5"/>
              </w:numPr>
              <w:spacing w:after="0"/>
              <w:rPr>
                <w:bCs/>
              </w:rPr>
            </w:pPr>
            <w:r>
              <w:rPr>
                <w:bCs/>
              </w:rPr>
              <w:t>subcarrier spacing for different UL/DL signals/channels</w:t>
            </w:r>
          </w:p>
          <w:p w:rsidR="005003C7" w:rsidRDefault="00204F37">
            <w:pPr>
              <w:numPr>
                <w:ilvl w:val="1"/>
                <w:numId w:val="5"/>
              </w:numPr>
              <w:spacing w:after="0"/>
              <w:rPr>
                <w:bCs/>
              </w:rPr>
            </w:pPr>
            <w:r>
              <w:rPr>
                <w:bCs/>
              </w:rPr>
              <w:t>PRACH configuration index for FDD above 10 GHz.</w:t>
            </w:r>
          </w:p>
          <w:p w:rsidR="005003C7" w:rsidRDefault="005003C7">
            <w:pPr>
              <w:spacing w:after="0"/>
              <w:ind w:left="360"/>
              <w:rPr>
                <w:rFonts w:eastAsia="宋体"/>
              </w:rPr>
            </w:pPr>
          </w:p>
        </w:tc>
      </w:tr>
    </w:tbl>
    <w:p w:rsidR="005003C7" w:rsidRDefault="00EA1DFE">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lastRenderedPageBreak/>
        <w:t>In #10</w:t>
      </w:r>
      <w:r>
        <w:rPr>
          <w:rFonts w:eastAsia="宋体"/>
          <w:sz w:val="22"/>
          <w:lang w:val="en-US" w:eastAsia="zh-CN"/>
        </w:rPr>
        <w:t xml:space="preserve">9 </w:t>
      </w:r>
      <w:r w:rsidR="00204F37">
        <w:rPr>
          <w:rFonts w:eastAsia="宋体" w:hint="eastAsia"/>
          <w:sz w:val="22"/>
          <w:lang w:val="en-US" w:eastAsia="zh-CN"/>
        </w:rPr>
        <w:t>meeting, we RAN4 has already clarify the 3 cases for NR NTN as below:</w:t>
      </w:r>
      <w:r w:rsidR="00204F37">
        <w:rPr>
          <w:rFonts w:eastAsia="宋体" w:hint="eastAsia"/>
          <w:sz w:val="22"/>
          <w:lang w:val="en-US" w:eastAsia="zh-CN"/>
        </w:rPr>
        <w:t></w:t>
      </w:r>
    </w:p>
    <w:p w:rsidR="005003C7" w:rsidRDefault="00204F37">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Case-1: Stationary UE for GSO</w:t>
      </w:r>
    </w:p>
    <w:p w:rsidR="005003C7" w:rsidRDefault="00204F37">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Case-2: Stationary UE for LEO</w:t>
      </w:r>
    </w:p>
    <w:p w:rsidR="005003C7" w:rsidRDefault="00204F37">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Case-3: Mobile UE for GSO</w:t>
      </w:r>
    </w:p>
    <w:p w:rsidR="000A3216" w:rsidRDefault="00204F37">
      <w:pPr>
        <w:overflowPunct w:val="0"/>
        <w:autoSpaceDE w:val="0"/>
        <w:autoSpaceDN w:val="0"/>
        <w:adjustRightInd w:val="0"/>
        <w:spacing w:before="120" w:after="120" w:line="360" w:lineRule="auto"/>
        <w:jc w:val="both"/>
        <w:textAlignment w:val="baseline"/>
        <w:rPr>
          <w:rFonts w:eastAsia="宋体"/>
          <w:sz w:val="22"/>
          <w:lang w:val="en-US" w:eastAsia="zh-CN"/>
        </w:rPr>
      </w:pPr>
      <w:r>
        <w:rPr>
          <w:rFonts w:eastAsia="宋体" w:hint="eastAsia"/>
          <w:sz w:val="22"/>
          <w:lang w:val="en-US" w:eastAsia="zh-CN"/>
        </w:rPr>
        <w:t>In R</w:t>
      </w:r>
      <w:proofErr w:type="gramStart"/>
      <w:r>
        <w:rPr>
          <w:rFonts w:eastAsia="宋体" w:hint="eastAsia"/>
          <w:sz w:val="22"/>
          <w:lang w:val="en-US" w:eastAsia="zh-CN"/>
        </w:rPr>
        <w:t xml:space="preserve">17, </w:t>
      </w:r>
      <w:r>
        <w:t xml:space="preserve"> </w:t>
      </w:r>
      <w:proofErr w:type="spellStart"/>
      <w:r>
        <w:t>T</w:t>
      </w:r>
      <w:r>
        <w:rPr>
          <w:vertAlign w:val="subscript"/>
        </w:rPr>
        <w:t>e</w:t>
      </w:r>
      <w:proofErr w:type="gramEnd"/>
      <w:r>
        <w:rPr>
          <w:vertAlign w:val="subscript"/>
        </w:rPr>
        <w:t>_NTN</w:t>
      </w:r>
      <w:proofErr w:type="spellEnd"/>
      <w:r>
        <w:t xml:space="preserve"> = </w:t>
      </w:r>
      <w:proofErr w:type="spellStart"/>
      <w:r>
        <w:t>T</w:t>
      </w:r>
      <w:r>
        <w:rPr>
          <w:vertAlign w:val="subscript"/>
        </w:rPr>
        <w:t>e</w:t>
      </w:r>
      <w:proofErr w:type="spellEnd"/>
      <w:r>
        <w:t xml:space="preserve"> + </w:t>
      </w:r>
      <w:proofErr w:type="spellStart"/>
      <w:r>
        <w:t>T</w:t>
      </w:r>
      <w:r>
        <w:rPr>
          <w:vertAlign w:val="subscript"/>
        </w:rPr>
        <w:t>e_GNSS</w:t>
      </w:r>
      <w:proofErr w:type="spellEnd"/>
      <w:r>
        <w:t xml:space="preserve"> + </w:t>
      </w:r>
      <w:proofErr w:type="spellStart"/>
      <w:r>
        <w:t>T</w:t>
      </w:r>
      <w:r>
        <w:rPr>
          <w:vertAlign w:val="subscript"/>
        </w:rPr>
        <w:t>e_SAT</w:t>
      </w:r>
      <w:proofErr w:type="spellEnd"/>
      <w:r>
        <w:rPr>
          <w:rFonts w:eastAsia="宋体" w:hint="eastAsia"/>
          <w:vertAlign w:val="subscript"/>
          <w:lang w:val="en-US" w:eastAsia="zh-CN"/>
        </w:rPr>
        <w:t xml:space="preserve">  </w:t>
      </w:r>
      <w:r>
        <w:rPr>
          <w:rFonts w:eastAsia="宋体" w:hint="eastAsia"/>
          <w:sz w:val="22"/>
          <w:lang w:val="en-US" w:eastAsia="zh-CN"/>
        </w:rPr>
        <w:t xml:space="preserve">has been decided, Te is the legacy timing error, </w:t>
      </w:r>
      <w:proofErr w:type="spellStart"/>
      <w:r>
        <w:rPr>
          <w:rFonts w:eastAsia="宋体" w:hint="eastAsia"/>
          <w:sz w:val="22"/>
          <w:lang w:val="en-US" w:eastAsia="zh-CN"/>
        </w:rPr>
        <w:t>Te_GNSS</w:t>
      </w:r>
      <w:proofErr w:type="spellEnd"/>
      <w:r>
        <w:rPr>
          <w:rFonts w:eastAsia="宋体" w:hint="eastAsia"/>
          <w:sz w:val="22"/>
          <w:lang w:val="en-US" w:eastAsia="zh-CN"/>
        </w:rPr>
        <w:t xml:space="preserve"> is the GNSS accuracy and </w:t>
      </w:r>
      <w:proofErr w:type="spellStart"/>
      <w:r>
        <w:rPr>
          <w:rFonts w:eastAsia="宋体" w:hint="eastAsia"/>
          <w:sz w:val="22"/>
          <w:lang w:val="en-US" w:eastAsia="zh-CN"/>
        </w:rPr>
        <w:t>Te_SAT</w:t>
      </w:r>
      <w:proofErr w:type="spellEnd"/>
      <w:r>
        <w:rPr>
          <w:rFonts w:eastAsia="宋体" w:hint="eastAsia"/>
          <w:sz w:val="22"/>
          <w:lang w:val="en-US" w:eastAsia="zh-CN"/>
        </w:rPr>
        <w:t xml:space="preserve"> is serving-satellite positioning error. The </w:t>
      </w:r>
      <w:proofErr w:type="spellStart"/>
      <w:r>
        <w:rPr>
          <w:rFonts w:eastAsia="宋体" w:hint="eastAsia"/>
          <w:sz w:val="22"/>
          <w:lang w:val="en-US" w:eastAsia="zh-CN"/>
        </w:rPr>
        <w:t>Te_GNSS</w:t>
      </w:r>
      <w:proofErr w:type="spellEnd"/>
      <w:r>
        <w:rPr>
          <w:rFonts w:eastAsia="宋体" w:hint="eastAsia"/>
          <w:sz w:val="22"/>
          <w:lang w:val="en-US" w:eastAsia="zh-CN"/>
        </w:rPr>
        <w:t xml:space="preserve"> is mainly up to the UE implementation, which is not influenced by fixed or mobile UE or the deployments of the satellite. However, for the parameter </w:t>
      </w:r>
      <w:proofErr w:type="spellStart"/>
      <w:r>
        <w:rPr>
          <w:rFonts w:eastAsia="宋体" w:hint="eastAsia"/>
          <w:sz w:val="22"/>
          <w:lang w:val="en-US" w:eastAsia="zh-CN"/>
        </w:rPr>
        <w:t>Te_SAT</w:t>
      </w:r>
      <w:proofErr w:type="spellEnd"/>
      <w:r>
        <w:rPr>
          <w:rFonts w:eastAsia="宋体" w:hint="eastAsia"/>
          <w:sz w:val="22"/>
          <w:lang w:val="en-US" w:eastAsia="zh-CN"/>
        </w:rPr>
        <w:t xml:space="preserve">, serving-satellite will provide the PVT information to UE which helps UE to estimate the its positioning error, which can be impacted by the different deployment of the serving satellite and the fixed or mobile UE, e.g. the LEO and GSO will provide the different PVT information to UE especially the velocity. And also the state of UE will also impact the accuracy which received the information from the serving-satellite. </w:t>
      </w:r>
    </w:p>
    <w:p w:rsidR="005003C7" w:rsidRDefault="00204F37">
      <w:pPr>
        <w:overflowPunct w:val="0"/>
        <w:autoSpaceDE w:val="0"/>
        <w:autoSpaceDN w:val="0"/>
        <w:adjustRightInd w:val="0"/>
        <w:spacing w:before="120" w:after="120" w:line="360" w:lineRule="auto"/>
        <w:jc w:val="both"/>
        <w:textAlignment w:val="baseline"/>
        <w:rPr>
          <w:rFonts w:eastAsia="宋体"/>
          <w:b/>
          <w:bCs/>
          <w:sz w:val="24"/>
          <w:szCs w:val="21"/>
          <w:lang w:val="en-US" w:eastAsia="zh-CN"/>
        </w:rPr>
      </w:pPr>
      <w:r>
        <w:rPr>
          <w:rFonts w:eastAsia="宋体" w:hint="eastAsia"/>
          <w:b/>
          <w:bCs/>
          <w:sz w:val="24"/>
          <w:szCs w:val="21"/>
          <w:lang w:val="en-US" w:eastAsia="zh-CN"/>
        </w:rPr>
        <w:t xml:space="preserve">Observation 1: The </w:t>
      </w:r>
      <w:proofErr w:type="spellStart"/>
      <w:r>
        <w:rPr>
          <w:rFonts w:eastAsia="宋体" w:hint="eastAsia"/>
          <w:b/>
          <w:bCs/>
          <w:sz w:val="24"/>
          <w:szCs w:val="21"/>
          <w:lang w:val="en-US" w:eastAsia="zh-CN"/>
        </w:rPr>
        <w:t>Te_GNSS</w:t>
      </w:r>
      <w:proofErr w:type="spellEnd"/>
      <w:r>
        <w:rPr>
          <w:rFonts w:eastAsia="宋体" w:hint="eastAsia"/>
          <w:b/>
          <w:bCs/>
          <w:sz w:val="24"/>
          <w:szCs w:val="21"/>
          <w:lang w:val="en-US" w:eastAsia="zh-CN"/>
        </w:rPr>
        <w:t xml:space="preserve"> is mainly up to the UE implementation, which is not influenced by fixed or mobile UE or the deployments of the satellite. </w:t>
      </w:r>
    </w:p>
    <w:p w:rsidR="005003C7" w:rsidRDefault="00204F37">
      <w:pPr>
        <w:overflowPunct w:val="0"/>
        <w:autoSpaceDE w:val="0"/>
        <w:autoSpaceDN w:val="0"/>
        <w:adjustRightInd w:val="0"/>
        <w:spacing w:before="120" w:after="120" w:line="360" w:lineRule="auto"/>
        <w:jc w:val="both"/>
        <w:textAlignment w:val="baseline"/>
        <w:rPr>
          <w:rFonts w:eastAsia="宋体"/>
          <w:b/>
          <w:bCs/>
          <w:sz w:val="24"/>
          <w:szCs w:val="21"/>
          <w:lang w:val="en-US" w:eastAsia="zh-CN"/>
        </w:rPr>
      </w:pPr>
      <w:r>
        <w:rPr>
          <w:rFonts w:eastAsia="宋体" w:hint="eastAsia"/>
          <w:b/>
          <w:bCs/>
          <w:sz w:val="24"/>
          <w:szCs w:val="21"/>
          <w:lang w:val="en-US" w:eastAsia="zh-CN"/>
        </w:rPr>
        <w:t>Observation 2: Serving-satellite will provide the PVT information to UE which helps UE to estimate the its positioning error, which can be impacted by the different deployment of the serving satellite and the fixed or mobile UE.</w:t>
      </w:r>
    </w:p>
    <w:p w:rsidR="000A3216" w:rsidRPr="000A3216" w:rsidRDefault="000A3216">
      <w:pPr>
        <w:overflowPunct w:val="0"/>
        <w:autoSpaceDE w:val="0"/>
        <w:autoSpaceDN w:val="0"/>
        <w:adjustRightInd w:val="0"/>
        <w:spacing w:before="120" w:after="120" w:line="360" w:lineRule="auto"/>
        <w:jc w:val="both"/>
        <w:textAlignment w:val="baseline"/>
        <w:rPr>
          <w:rFonts w:eastAsia="宋体"/>
          <w:sz w:val="22"/>
          <w:lang w:val="en-US" w:eastAsia="zh-CN"/>
        </w:rPr>
      </w:pPr>
      <w:r w:rsidRPr="000A3216">
        <w:rPr>
          <w:rFonts w:eastAsia="宋体"/>
          <w:sz w:val="22"/>
          <w:lang w:val="en-US" w:eastAsia="zh-CN"/>
        </w:rPr>
        <w:t>In the last meeting, we RAN4 has already reached the following agreements:</w:t>
      </w:r>
    </w:p>
    <w:tbl>
      <w:tblPr>
        <w:tblStyle w:val="ab"/>
        <w:tblW w:w="0" w:type="auto"/>
        <w:tblLook w:val="04A0" w:firstRow="1" w:lastRow="0" w:firstColumn="1" w:lastColumn="0" w:noHBand="0" w:noVBand="1"/>
      </w:tblPr>
      <w:tblGrid>
        <w:gridCol w:w="9631"/>
      </w:tblGrid>
      <w:tr w:rsidR="005003C7">
        <w:tc>
          <w:tcPr>
            <w:tcW w:w="9857" w:type="dxa"/>
          </w:tcPr>
          <w:p w:rsidR="00EA1DFE" w:rsidRDefault="00EA1DFE" w:rsidP="00EA1DFE">
            <w:pPr>
              <w:outlineLvl w:val="2"/>
              <w:rPr>
                <w:b/>
                <w:u w:val="single"/>
                <w:lang w:eastAsia="ko-KR"/>
              </w:rPr>
            </w:pPr>
            <w:r>
              <w:rPr>
                <w:b/>
                <w:u w:val="single"/>
                <w:lang w:eastAsia="ko-KR"/>
              </w:rPr>
              <w:t xml:space="preserve">Issue 1-6: </w:t>
            </w:r>
            <w:proofErr w:type="spellStart"/>
            <w:r>
              <w:rPr>
                <w:b/>
                <w:u w:val="single"/>
                <w:lang w:eastAsia="ko-KR"/>
              </w:rPr>
              <w:t>Te_NTN</w:t>
            </w:r>
            <w:proofErr w:type="spellEnd"/>
            <w:r>
              <w:rPr>
                <w:b/>
                <w:u w:val="single"/>
                <w:lang w:eastAsia="ko-KR"/>
              </w:rPr>
              <w:t xml:space="preserve"> for 60kHz and 120kHz</w:t>
            </w:r>
          </w:p>
          <w:p w:rsidR="00EA1DFE" w:rsidRDefault="00EA1DFE" w:rsidP="00EA1DFE">
            <w:pPr>
              <w:spacing w:after="120" w:line="252" w:lineRule="auto"/>
              <w:ind w:firstLine="284"/>
              <w:rPr>
                <w:b/>
                <w:bCs/>
                <w:highlight w:val="green"/>
                <w:u w:val="single"/>
                <w:lang w:eastAsia="ja-JP"/>
              </w:rPr>
            </w:pPr>
            <w:bookmarkStart w:id="1" w:name="_Hlk151008787"/>
            <w:r>
              <w:rPr>
                <w:b/>
                <w:bCs/>
                <w:highlight w:val="green"/>
                <w:u w:val="single"/>
                <w:lang w:eastAsia="ja-JP"/>
              </w:rPr>
              <w:t>Agreement:</w:t>
            </w:r>
          </w:p>
          <w:bookmarkEnd w:id="1"/>
          <w:p w:rsidR="00EA1DFE" w:rsidRDefault="00EA1DFE" w:rsidP="00EA1DFE">
            <w:pPr>
              <w:pStyle w:val="af"/>
              <w:numPr>
                <w:ilvl w:val="0"/>
                <w:numId w:val="9"/>
              </w:numPr>
              <w:overflowPunct w:val="0"/>
              <w:autoSpaceDE w:val="0"/>
              <w:autoSpaceDN w:val="0"/>
              <w:adjustRightInd w:val="0"/>
              <w:spacing w:after="180" w:line="276" w:lineRule="auto"/>
              <w:textAlignment w:val="baseline"/>
              <w:rPr>
                <w:iCs/>
                <w:lang w:eastAsia="zh-CN"/>
              </w:rPr>
            </w:pPr>
            <w:r>
              <w:rPr>
                <w:iCs/>
                <w:lang w:eastAsia="zh-CN"/>
              </w:rPr>
              <w:t>UL 60kHz SCS:</w:t>
            </w:r>
          </w:p>
          <w:p w:rsidR="00EA1DFE" w:rsidRDefault="00EA1DFE" w:rsidP="00EA1DFE">
            <w:pPr>
              <w:pStyle w:val="af"/>
              <w:numPr>
                <w:ilvl w:val="1"/>
                <w:numId w:val="9"/>
              </w:numPr>
              <w:overflowPunct w:val="0"/>
              <w:autoSpaceDE w:val="0"/>
              <w:autoSpaceDN w:val="0"/>
              <w:adjustRightInd w:val="0"/>
              <w:spacing w:after="180" w:line="276" w:lineRule="auto"/>
              <w:textAlignment w:val="baseline"/>
              <w:rPr>
                <w:iCs/>
                <w:lang w:eastAsia="zh-CN"/>
              </w:rPr>
            </w:pPr>
            <w:r>
              <w:rPr>
                <w:iCs/>
                <w:lang w:eastAsia="zh-CN"/>
              </w:rPr>
              <w:t>13 Ts for all cases with 120kHz/240kHz SSB</w:t>
            </w:r>
          </w:p>
          <w:p w:rsidR="00EA1DFE" w:rsidRDefault="00EA1DFE" w:rsidP="00EA1DFE">
            <w:pPr>
              <w:pStyle w:val="af"/>
              <w:numPr>
                <w:ilvl w:val="0"/>
                <w:numId w:val="9"/>
              </w:numPr>
              <w:overflowPunct w:val="0"/>
              <w:autoSpaceDE w:val="0"/>
              <w:autoSpaceDN w:val="0"/>
              <w:adjustRightInd w:val="0"/>
              <w:spacing w:after="180" w:line="276" w:lineRule="auto"/>
              <w:textAlignment w:val="baseline"/>
              <w:rPr>
                <w:iCs/>
                <w:lang w:eastAsia="zh-CN"/>
              </w:rPr>
            </w:pPr>
            <w:r>
              <w:rPr>
                <w:iCs/>
                <w:lang w:eastAsia="zh-CN"/>
              </w:rPr>
              <w:t>UL 120kHz SCS:</w:t>
            </w:r>
          </w:p>
          <w:p w:rsidR="00EA1DFE" w:rsidRDefault="00EA1DFE" w:rsidP="00EA1DFE">
            <w:pPr>
              <w:pStyle w:val="af"/>
              <w:numPr>
                <w:ilvl w:val="1"/>
                <w:numId w:val="9"/>
              </w:numPr>
              <w:overflowPunct w:val="0"/>
              <w:autoSpaceDE w:val="0"/>
              <w:autoSpaceDN w:val="0"/>
              <w:adjustRightInd w:val="0"/>
              <w:spacing w:after="180" w:line="276" w:lineRule="auto"/>
              <w:textAlignment w:val="baseline"/>
              <w:rPr>
                <w:iCs/>
                <w:lang w:eastAsia="zh-CN"/>
              </w:rPr>
            </w:pPr>
            <w:r>
              <w:rPr>
                <w:iCs/>
                <w:lang w:eastAsia="zh-CN"/>
              </w:rPr>
              <w:t>Case 1 and case 2: 7.5 Ts</w:t>
            </w:r>
          </w:p>
          <w:p w:rsidR="00EA1DFE" w:rsidRDefault="00EA1DFE" w:rsidP="00EA1DFE">
            <w:pPr>
              <w:pStyle w:val="af"/>
              <w:numPr>
                <w:ilvl w:val="2"/>
                <w:numId w:val="9"/>
              </w:numPr>
              <w:overflowPunct w:val="0"/>
              <w:autoSpaceDE w:val="0"/>
              <w:autoSpaceDN w:val="0"/>
              <w:adjustRightInd w:val="0"/>
              <w:spacing w:after="180" w:line="276" w:lineRule="auto"/>
              <w:textAlignment w:val="baseline"/>
              <w:rPr>
                <w:iCs/>
                <w:lang w:eastAsia="zh-CN"/>
              </w:rPr>
            </w:pPr>
            <w:r>
              <w:rPr>
                <w:iCs/>
                <w:lang w:eastAsia="zh-CN"/>
              </w:rPr>
              <w:t>FFS for the applicable side condition on case 2</w:t>
            </w:r>
          </w:p>
          <w:p w:rsidR="005003C7" w:rsidRDefault="00EA1DFE" w:rsidP="00EA1DFE">
            <w:pPr>
              <w:pStyle w:val="31"/>
              <w:spacing w:line="360" w:lineRule="auto"/>
              <w:jc w:val="both"/>
              <w:rPr>
                <w:b/>
                <w:bCs/>
                <w:color w:val="000000"/>
                <w:sz w:val="22"/>
                <w:szCs w:val="22"/>
              </w:rPr>
            </w:pPr>
            <w:r>
              <w:rPr>
                <w:iCs/>
              </w:rPr>
              <w:t>Case 3: Higher than 7.5 Ts, FFS for the exact value</w:t>
            </w:r>
          </w:p>
        </w:tc>
      </w:tr>
    </w:tbl>
    <w:p w:rsidR="005003C7" w:rsidRDefault="00204F37">
      <w:pPr>
        <w:pStyle w:val="31"/>
        <w:spacing w:line="360" w:lineRule="auto"/>
        <w:jc w:val="both"/>
        <w:rPr>
          <w:rFonts w:eastAsia="宋体"/>
          <w:kern w:val="0"/>
          <w:sz w:val="22"/>
        </w:rPr>
      </w:pPr>
      <w:r>
        <w:rPr>
          <w:rFonts w:eastAsia="宋体" w:hint="eastAsia"/>
          <w:kern w:val="0"/>
          <w:sz w:val="22"/>
        </w:rPr>
        <w:lastRenderedPageBreak/>
        <w:t>In R17 discussion, the UE Tx timing requirement is defined based on the agreement in WF R4-2115346 and WF R4-2120310:</w:t>
      </w:r>
    </w:p>
    <w:tbl>
      <w:tblPr>
        <w:tblStyle w:val="ab"/>
        <w:tblW w:w="0" w:type="auto"/>
        <w:tblLook w:val="04A0" w:firstRow="1" w:lastRow="0" w:firstColumn="1" w:lastColumn="0" w:noHBand="0" w:noVBand="1"/>
      </w:tblPr>
      <w:tblGrid>
        <w:gridCol w:w="9629"/>
      </w:tblGrid>
      <w:tr w:rsidR="005003C7">
        <w:tc>
          <w:tcPr>
            <w:tcW w:w="9629" w:type="dxa"/>
          </w:tcPr>
          <w:p w:rsidR="005003C7" w:rsidRDefault="00204F37">
            <w:pPr>
              <w:pStyle w:val="af"/>
              <w:numPr>
                <w:ilvl w:val="0"/>
                <w:numId w:val="7"/>
              </w:numPr>
              <w:spacing w:after="0" w:line="240" w:lineRule="auto"/>
              <w:jc w:val="both"/>
              <w:rPr>
                <w:sz w:val="20"/>
                <w:szCs w:val="20"/>
                <w:lang w:val="en-GB"/>
              </w:rPr>
            </w:pPr>
            <w:r>
              <w:rPr>
                <w:sz w:val="20"/>
                <w:szCs w:val="20"/>
                <w:lang w:val="en-GB"/>
              </w:rPr>
              <w:t>For initial transmit timing requirement in NTN (</w:t>
            </w:r>
            <w:proofErr w:type="spellStart"/>
            <w:r>
              <w:rPr>
                <w:sz w:val="20"/>
                <w:szCs w:val="20"/>
                <w:lang w:val="en-GB"/>
              </w:rPr>
              <w:t>T</w:t>
            </w:r>
            <w:r>
              <w:rPr>
                <w:sz w:val="20"/>
                <w:szCs w:val="20"/>
                <w:vertAlign w:val="subscript"/>
                <w:lang w:val="en-GB"/>
              </w:rPr>
              <w:t>e_NTN</w:t>
            </w:r>
            <w:proofErr w:type="spellEnd"/>
            <w:r>
              <w:rPr>
                <w:sz w:val="20"/>
                <w:szCs w:val="20"/>
                <w:lang w:val="en-GB"/>
              </w:rPr>
              <w:t xml:space="preserve">), </w:t>
            </w:r>
            <w:proofErr w:type="spellStart"/>
            <w:r>
              <w:rPr>
                <w:sz w:val="20"/>
                <w:szCs w:val="20"/>
                <w:lang w:val="en-GB"/>
              </w:rPr>
              <w:t>T</w:t>
            </w:r>
            <w:r>
              <w:rPr>
                <w:sz w:val="20"/>
                <w:szCs w:val="20"/>
                <w:vertAlign w:val="subscript"/>
                <w:lang w:val="en-GB"/>
              </w:rPr>
              <w:t>e_NTN</w:t>
            </w:r>
            <w:proofErr w:type="spellEnd"/>
            <w:r>
              <w:rPr>
                <w:sz w:val="20"/>
                <w:szCs w:val="20"/>
                <w:lang w:val="en-GB"/>
              </w:rPr>
              <w:t xml:space="preserve"> = </w:t>
            </w:r>
            <w:proofErr w:type="spellStart"/>
            <w:r>
              <w:rPr>
                <w:sz w:val="20"/>
                <w:szCs w:val="20"/>
                <w:lang w:val="en-GB"/>
              </w:rPr>
              <w:t>T</w:t>
            </w:r>
            <w:r>
              <w:rPr>
                <w:sz w:val="20"/>
                <w:szCs w:val="20"/>
                <w:vertAlign w:val="subscript"/>
                <w:lang w:val="en-GB"/>
              </w:rPr>
              <w:t>e</w:t>
            </w:r>
            <w:proofErr w:type="spellEnd"/>
            <w:r>
              <w:rPr>
                <w:sz w:val="20"/>
                <w:szCs w:val="20"/>
                <w:lang w:val="en-GB"/>
              </w:rPr>
              <w:t xml:space="preserve"> + </w:t>
            </w:r>
            <w:proofErr w:type="spellStart"/>
            <w:r>
              <w:rPr>
                <w:sz w:val="20"/>
                <w:szCs w:val="20"/>
                <w:lang w:val="en-GB"/>
              </w:rPr>
              <w:t>T</w:t>
            </w:r>
            <w:r>
              <w:rPr>
                <w:sz w:val="20"/>
                <w:szCs w:val="20"/>
                <w:vertAlign w:val="subscript"/>
                <w:lang w:val="en-GB"/>
              </w:rPr>
              <w:t>e_GNSS</w:t>
            </w:r>
            <w:proofErr w:type="spellEnd"/>
            <w:r>
              <w:rPr>
                <w:sz w:val="20"/>
                <w:szCs w:val="20"/>
                <w:lang w:val="en-GB"/>
              </w:rPr>
              <w:t xml:space="preserve"> + </w:t>
            </w:r>
            <w:proofErr w:type="spellStart"/>
            <w:r>
              <w:rPr>
                <w:sz w:val="20"/>
                <w:szCs w:val="20"/>
                <w:lang w:val="en-GB"/>
              </w:rPr>
              <w:t>T</w:t>
            </w:r>
            <w:r>
              <w:rPr>
                <w:sz w:val="20"/>
                <w:szCs w:val="20"/>
                <w:vertAlign w:val="subscript"/>
                <w:lang w:val="en-GB"/>
              </w:rPr>
              <w:t>e_SAT</w:t>
            </w:r>
            <w:proofErr w:type="spellEnd"/>
          </w:p>
          <w:p w:rsidR="005003C7" w:rsidRDefault="00204F37">
            <w:pPr>
              <w:pStyle w:val="af"/>
              <w:numPr>
                <w:ilvl w:val="1"/>
                <w:numId w:val="7"/>
              </w:numPr>
              <w:spacing w:after="0" w:line="240" w:lineRule="auto"/>
              <w:jc w:val="both"/>
              <w:rPr>
                <w:sz w:val="20"/>
                <w:szCs w:val="20"/>
                <w:lang w:val="en-GB"/>
              </w:rPr>
            </w:pPr>
            <w:proofErr w:type="spellStart"/>
            <w:r>
              <w:rPr>
                <w:sz w:val="20"/>
                <w:szCs w:val="20"/>
                <w:lang w:val="en-GB"/>
              </w:rPr>
              <w:t>Te</w:t>
            </w:r>
            <w:proofErr w:type="spellEnd"/>
            <w:r>
              <w:rPr>
                <w:sz w:val="20"/>
                <w:szCs w:val="20"/>
                <w:lang w:val="en-GB"/>
              </w:rPr>
              <w:t xml:space="preserve"> is the legacy timing error</w:t>
            </w:r>
          </w:p>
          <w:p w:rsidR="005003C7" w:rsidRDefault="00204F37">
            <w:pPr>
              <w:pStyle w:val="af"/>
              <w:numPr>
                <w:ilvl w:val="1"/>
                <w:numId w:val="7"/>
              </w:numPr>
              <w:spacing w:after="0" w:line="240" w:lineRule="auto"/>
              <w:jc w:val="both"/>
              <w:rPr>
                <w:sz w:val="20"/>
                <w:szCs w:val="20"/>
                <w:lang w:val="en-GB"/>
              </w:rPr>
            </w:pPr>
            <w:proofErr w:type="spellStart"/>
            <w:r>
              <w:rPr>
                <w:sz w:val="20"/>
                <w:szCs w:val="20"/>
                <w:lang w:val="en-GB"/>
              </w:rPr>
              <w:t>Te_GNSS</w:t>
            </w:r>
            <w:proofErr w:type="spellEnd"/>
            <w:r>
              <w:rPr>
                <w:sz w:val="20"/>
                <w:szCs w:val="20"/>
                <w:lang w:val="en-GB"/>
              </w:rPr>
              <w:t xml:space="preserve"> is the GNSS accuracy</w:t>
            </w:r>
          </w:p>
          <w:p w:rsidR="005003C7" w:rsidRDefault="00204F37">
            <w:pPr>
              <w:pStyle w:val="af"/>
              <w:numPr>
                <w:ilvl w:val="2"/>
                <w:numId w:val="7"/>
              </w:numPr>
              <w:spacing w:after="0" w:line="240" w:lineRule="auto"/>
              <w:jc w:val="both"/>
              <w:rPr>
                <w:sz w:val="20"/>
                <w:szCs w:val="20"/>
                <w:lang w:val="en-GB"/>
              </w:rPr>
            </w:pPr>
            <w:r>
              <w:rPr>
                <w:sz w:val="20"/>
                <w:szCs w:val="20"/>
                <w:lang w:val="en-GB"/>
              </w:rPr>
              <w:t xml:space="preserve">Note: </w:t>
            </w:r>
            <w:proofErr w:type="spellStart"/>
            <w:r>
              <w:rPr>
                <w:sz w:val="20"/>
                <w:szCs w:val="20"/>
                <w:lang w:val="en-GB"/>
              </w:rPr>
              <w:t>Te_GNSS</w:t>
            </w:r>
            <w:proofErr w:type="spellEnd"/>
            <w:r>
              <w:rPr>
                <w:sz w:val="20"/>
                <w:szCs w:val="20"/>
                <w:lang w:val="en-GB"/>
              </w:rPr>
              <w:t xml:space="preserve"> shall include the total RTT error</w:t>
            </w:r>
          </w:p>
          <w:p w:rsidR="005003C7" w:rsidRDefault="00204F37">
            <w:pPr>
              <w:pStyle w:val="af"/>
              <w:numPr>
                <w:ilvl w:val="3"/>
                <w:numId w:val="7"/>
              </w:numPr>
              <w:spacing w:after="0" w:line="240" w:lineRule="auto"/>
              <w:jc w:val="both"/>
              <w:rPr>
                <w:sz w:val="20"/>
                <w:szCs w:val="20"/>
                <w:lang w:val="en-GB"/>
              </w:rPr>
            </w:pPr>
            <w:r>
              <w:rPr>
                <w:sz w:val="20"/>
                <w:szCs w:val="20"/>
                <w:lang w:val="en-GB"/>
              </w:rPr>
              <w:t>FFS the clarification on total RTT error</w:t>
            </w:r>
          </w:p>
          <w:p w:rsidR="005003C7" w:rsidRDefault="00204F37">
            <w:pPr>
              <w:pStyle w:val="af"/>
              <w:numPr>
                <w:ilvl w:val="2"/>
                <w:numId w:val="7"/>
              </w:numPr>
              <w:spacing w:after="0" w:line="240" w:lineRule="auto"/>
              <w:jc w:val="both"/>
              <w:rPr>
                <w:sz w:val="20"/>
                <w:szCs w:val="20"/>
                <w:lang w:val="en-GB"/>
              </w:rPr>
            </w:pPr>
            <w:r>
              <w:rPr>
                <w:sz w:val="20"/>
                <w:szCs w:val="20"/>
                <w:lang w:val="en-GB"/>
              </w:rPr>
              <w:t xml:space="preserve">FFS how to derive </w:t>
            </w:r>
            <w:proofErr w:type="spellStart"/>
            <w:r>
              <w:rPr>
                <w:sz w:val="20"/>
                <w:szCs w:val="20"/>
                <w:lang w:val="en-GB"/>
              </w:rPr>
              <w:t>Te_GNSS</w:t>
            </w:r>
            <w:proofErr w:type="spellEnd"/>
            <w:r>
              <w:rPr>
                <w:sz w:val="20"/>
                <w:szCs w:val="20"/>
                <w:lang w:val="en-GB"/>
              </w:rPr>
              <w:t xml:space="preserve"> from the GNSS positioning accuracy</w:t>
            </w:r>
          </w:p>
          <w:p w:rsidR="005003C7" w:rsidRDefault="00204F37">
            <w:pPr>
              <w:pStyle w:val="af"/>
              <w:numPr>
                <w:ilvl w:val="1"/>
                <w:numId w:val="7"/>
              </w:numPr>
              <w:spacing w:after="0" w:line="240" w:lineRule="auto"/>
              <w:jc w:val="both"/>
              <w:rPr>
                <w:sz w:val="20"/>
                <w:szCs w:val="20"/>
                <w:lang w:val="en-GB"/>
              </w:rPr>
            </w:pPr>
            <w:proofErr w:type="spellStart"/>
            <w:r>
              <w:rPr>
                <w:sz w:val="20"/>
                <w:szCs w:val="20"/>
                <w:lang w:val="en-GB"/>
              </w:rPr>
              <w:t>Te_SAT</w:t>
            </w:r>
            <w:proofErr w:type="spellEnd"/>
            <w:r>
              <w:rPr>
                <w:sz w:val="20"/>
                <w:szCs w:val="20"/>
                <w:lang w:val="en-GB"/>
              </w:rPr>
              <w:t xml:space="preserve"> is the serving-satellite position estimation error</w:t>
            </w:r>
          </w:p>
          <w:p w:rsidR="005003C7" w:rsidRDefault="00204F37">
            <w:pPr>
              <w:pStyle w:val="af"/>
              <w:numPr>
                <w:ilvl w:val="2"/>
                <w:numId w:val="7"/>
              </w:numPr>
              <w:spacing w:after="0" w:line="240" w:lineRule="auto"/>
              <w:jc w:val="both"/>
              <w:rPr>
                <w:sz w:val="20"/>
                <w:szCs w:val="20"/>
                <w:lang w:val="en-GB"/>
              </w:rPr>
            </w:pPr>
            <w:r>
              <w:rPr>
                <w:sz w:val="20"/>
                <w:szCs w:val="20"/>
                <w:lang w:val="en-GB"/>
              </w:rPr>
              <w:t xml:space="preserve">Note: </w:t>
            </w:r>
            <w:proofErr w:type="spellStart"/>
            <w:r>
              <w:rPr>
                <w:sz w:val="20"/>
                <w:szCs w:val="20"/>
                <w:lang w:val="en-GB"/>
              </w:rPr>
              <w:t>Te_SAT</w:t>
            </w:r>
            <w:proofErr w:type="spellEnd"/>
            <w:r>
              <w:rPr>
                <w:sz w:val="20"/>
                <w:szCs w:val="20"/>
                <w:lang w:val="en-GB"/>
              </w:rPr>
              <w:t xml:space="preserve"> shall include the total RTT error</w:t>
            </w:r>
          </w:p>
          <w:p w:rsidR="005003C7" w:rsidRDefault="00204F37">
            <w:pPr>
              <w:pStyle w:val="af"/>
              <w:numPr>
                <w:ilvl w:val="3"/>
                <w:numId w:val="7"/>
              </w:numPr>
              <w:spacing w:after="0" w:line="240" w:lineRule="auto"/>
              <w:jc w:val="both"/>
              <w:rPr>
                <w:sz w:val="20"/>
                <w:szCs w:val="20"/>
                <w:lang w:val="en-GB"/>
              </w:rPr>
            </w:pPr>
            <w:r>
              <w:rPr>
                <w:sz w:val="20"/>
                <w:szCs w:val="20"/>
                <w:lang w:val="en-GB"/>
              </w:rPr>
              <w:t xml:space="preserve"> FFS the clarification on total RTT error</w:t>
            </w:r>
          </w:p>
          <w:p w:rsidR="005003C7" w:rsidRDefault="00204F37">
            <w:pPr>
              <w:pStyle w:val="af"/>
              <w:numPr>
                <w:ilvl w:val="1"/>
                <w:numId w:val="7"/>
              </w:numPr>
              <w:spacing w:after="0" w:line="240" w:lineRule="auto"/>
              <w:jc w:val="both"/>
              <w:rPr>
                <w:sz w:val="20"/>
                <w:szCs w:val="20"/>
                <w:lang w:val="en-GB"/>
              </w:rPr>
            </w:pPr>
            <w:proofErr w:type="spellStart"/>
            <w:r>
              <w:rPr>
                <w:sz w:val="20"/>
                <w:szCs w:val="20"/>
                <w:lang w:val="en-GB"/>
              </w:rPr>
              <w:t>T</w:t>
            </w:r>
            <w:r>
              <w:rPr>
                <w:sz w:val="20"/>
                <w:szCs w:val="20"/>
                <w:vertAlign w:val="subscript"/>
                <w:lang w:val="en-GB"/>
              </w:rPr>
              <w:t>e_GNSS</w:t>
            </w:r>
            <w:proofErr w:type="spellEnd"/>
            <w:r>
              <w:rPr>
                <w:sz w:val="20"/>
                <w:szCs w:val="20"/>
                <w:lang w:val="en-GB"/>
              </w:rPr>
              <w:t xml:space="preserve"> = 2* (GNSS positioning accuracy/c), where c = 3*10</w:t>
            </w:r>
            <w:r>
              <w:rPr>
                <w:sz w:val="20"/>
                <w:szCs w:val="20"/>
                <w:vertAlign w:val="superscript"/>
                <w:lang w:val="en-GB"/>
              </w:rPr>
              <w:t>8</w:t>
            </w:r>
            <w:r>
              <w:rPr>
                <w:sz w:val="20"/>
                <w:szCs w:val="20"/>
                <w:lang w:val="en-GB"/>
              </w:rPr>
              <w:t xml:space="preserve"> m/s.</w:t>
            </w:r>
          </w:p>
          <w:p w:rsidR="005003C7" w:rsidRDefault="00204F37">
            <w:pPr>
              <w:pStyle w:val="af"/>
              <w:numPr>
                <w:ilvl w:val="1"/>
                <w:numId w:val="7"/>
              </w:numPr>
              <w:spacing w:after="0" w:line="240" w:lineRule="auto"/>
              <w:jc w:val="both"/>
              <w:rPr>
                <w:lang w:val="en-GB"/>
              </w:rPr>
            </w:pPr>
            <w:proofErr w:type="spellStart"/>
            <w:r>
              <w:rPr>
                <w:sz w:val="20"/>
                <w:szCs w:val="20"/>
                <w:lang w:val="en-GB"/>
              </w:rPr>
              <w:t>T</w:t>
            </w:r>
            <w:r>
              <w:rPr>
                <w:sz w:val="20"/>
                <w:szCs w:val="20"/>
                <w:vertAlign w:val="subscript"/>
                <w:lang w:val="en-GB"/>
              </w:rPr>
              <w:t>e_SAT</w:t>
            </w:r>
            <w:proofErr w:type="spellEnd"/>
            <w:r>
              <w:rPr>
                <w:sz w:val="20"/>
                <w:szCs w:val="20"/>
                <w:lang w:val="en-GB"/>
              </w:rPr>
              <w:t xml:space="preserve"> = 2* (serving-satellite positioning estimation accuracy /c), where c = 3*10</w:t>
            </w:r>
            <w:r>
              <w:rPr>
                <w:sz w:val="20"/>
                <w:szCs w:val="20"/>
                <w:vertAlign w:val="superscript"/>
                <w:lang w:val="en-GB"/>
              </w:rPr>
              <w:t>8</w:t>
            </w:r>
            <w:r>
              <w:rPr>
                <w:sz w:val="20"/>
                <w:szCs w:val="20"/>
                <w:lang w:val="en-GB"/>
              </w:rPr>
              <w:t xml:space="preserve"> m/s.</w:t>
            </w:r>
          </w:p>
        </w:tc>
      </w:tr>
    </w:tbl>
    <w:p w:rsidR="005003C7" w:rsidRDefault="00204F37">
      <w:pPr>
        <w:pStyle w:val="31"/>
        <w:spacing w:line="360" w:lineRule="auto"/>
        <w:jc w:val="both"/>
        <w:rPr>
          <w:rFonts w:eastAsia="宋体"/>
          <w:kern w:val="0"/>
          <w:sz w:val="22"/>
        </w:rPr>
      </w:pPr>
      <w:r>
        <w:rPr>
          <w:rFonts w:eastAsia="宋体" w:hint="eastAsia"/>
          <w:kern w:val="0"/>
          <w:sz w:val="22"/>
        </w:rPr>
        <w:t xml:space="preserve">Based on the agreements in R17 discussion, we know that the initial transmit timing requirements in NTN is </w:t>
      </w:r>
      <w:proofErr w:type="spellStart"/>
      <w:r>
        <w:rPr>
          <w:lang w:val="en-GB"/>
        </w:rPr>
        <w:t>T</w:t>
      </w:r>
      <w:r>
        <w:rPr>
          <w:vertAlign w:val="subscript"/>
          <w:lang w:val="en-GB"/>
        </w:rPr>
        <w:t>e_NTN</w:t>
      </w:r>
      <w:proofErr w:type="spellEnd"/>
      <w:r>
        <w:rPr>
          <w:lang w:val="en-GB"/>
        </w:rPr>
        <w:t xml:space="preserve"> = </w:t>
      </w:r>
      <w:proofErr w:type="spellStart"/>
      <w:r>
        <w:rPr>
          <w:lang w:val="en-GB"/>
        </w:rPr>
        <w:t>T</w:t>
      </w:r>
      <w:r>
        <w:rPr>
          <w:vertAlign w:val="subscript"/>
          <w:lang w:val="en-GB"/>
        </w:rPr>
        <w:t>e</w:t>
      </w:r>
      <w:proofErr w:type="spellEnd"/>
      <w:r>
        <w:rPr>
          <w:lang w:val="en-GB"/>
        </w:rPr>
        <w:t xml:space="preserve"> + </w:t>
      </w:r>
      <w:proofErr w:type="spellStart"/>
      <w:r>
        <w:rPr>
          <w:lang w:val="en-GB"/>
        </w:rPr>
        <w:t>T</w:t>
      </w:r>
      <w:r>
        <w:rPr>
          <w:vertAlign w:val="subscript"/>
          <w:lang w:val="en-GB"/>
        </w:rPr>
        <w:t>e_GNSS</w:t>
      </w:r>
      <w:proofErr w:type="spellEnd"/>
      <w:r>
        <w:rPr>
          <w:lang w:val="en-GB"/>
        </w:rPr>
        <w:t xml:space="preserve"> + </w:t>
      </w:r>
      <w:proofErr w:type="spellStart"/>
      <w:r>
        <w:rPr>
          <w:lang w:val="en-GB"/>
        </w:rPr>
        <w:t>T</w:t>
      </w:r>
      <w:r>
        <w:rPr>
          <w:vertAlign w:val="subscript"/>
          <w:lang w:val="en-GB"/>
        </w:rPr>
        <w:t>e_SAT</w:t>
      </w:r>
      <w:proofErr w:type="spellEnd"/>
      <w:r>
        <w:rPr>
          <w:rFonts w:eastAsia="宋体" w:hint="eastAsia"/>
          <w:kern w:val="0"/>
          <w:sz w:val="22"/>
        </w:rPr>
        <w:t xml:space="preserve">, and we assume basic GNSS accuracy is 50m which is the assumption based on the TS38.171 and also the serving-satellite positioning accuracy is 30m which is also the assumption during the whole discussion. In FR1 NTN, we did not </w:t>
      </w:r>
      <w:proofErr w:type="gramStart"/>
      <w:r>
        <w:rPr>
          <w:rFonts w:eastAsia="宋体" w:hint="eastAsia"/>
          <w:kern w:val="0"/>
          <w:sz w:val="22"/>
        </w:rPr>
        <w:t>studied</w:t>
      </w:r>
      <w:proofErr w:type="gramEnd"/>
      <w:r>
        <w:rPr>
          <w:rFonts w:eastAsia="宋体" w:hint="eastAsia"/>
          <w:kern w:val="0"/>
          <w:sz w:val="22"/>
        </w:rPr>
        <w:t xml:space="preserve"> the UL timing requirements when SCS equals to or larger than 60KHz since the timing error will be too large to guarantee the system performance and robustness. However, for R18 the basic scenario is </w:t>
      </w:r>
      <w:proofErr w:type="spellStart"/>
      <w:r>
        <w:rPr>
          <w:rFonts w:eastAsia="宋体" w:hint="eastAsia"/>
          <w:kern w:val="0"/>
          <w:sz w:val="22"/>
        </w:rPr>
        <w:t>Ka</w:t>
      </w:r>
      <w:proofErr w:type="spellEnd"/>
      <w:r>
        <w:rPr>
          <w:rFonts w:eastAsia="宋体" w:hint="eastAsia"/>
          <w:kern w:val="0"/>
          <w:sz w:val="22"/>
        </w:rPr>
        <w:t xml:space="preserve"> band which SCS is equal to or larger than 60KHz and the main considered SCS is 60KHz and 120KHz based on the previous meetings. So the initial transmit timing requirements for NTN in R17 will not be suitable for the </w:t>
      </w:r>
      <w:proofErr w:type="spellStart"/>
      <w:r>
        <w:rPr>
          <w:rFonts w:eastAsia="宋体" w:hint="eastAsia"/>
          <w:kern w:val="0"/>
          <w:sz w:val="22"/>
        </w:rPr>
        <w:t>Ka</w:t>
      </w:r>
      <w:proofErr w:type="spellEnd"/>
      <w:r>
        <w:rPr>
          <w:rFonts w:eastAsia="宋体" w:hint="eastAsia"/>
          <w:kern w:val="0"/>
          <w:sz w:val="22"/>
        </w:rPr>
        <w:t xml:space="preserve"> band, </w:t>
      </w:r>
      <w:proofErr w:type="spellStart"/>
      <w:r>
        <w:rPr>
          <w:lang w:val="en-GB"/>
        </w:rPr>
        <w:t>T</w:t>
      </w:r>
      <w:r>
        <w:rPr>
          <w:vertAlign w:val="subscript"/>
          <w:lang w:val="en-GB"/>
        </w:rPr>
        <w:t>e_NTN</w:t>
      </w:r>
      <w:proofErr w:type="spellEnd"/>
      <w:r>
        <w:rPr>
          <w:lang w:val="en-GB"/>
        </w:rPr>
        <w:t xml:space="preserve"> = </w:t>
      </w:r>
      <w:proofErr w:type="spellStart"/>
      <w:r>
        <w:rPr>
          <w:lang w:val="en-GB"/>
        </w:rPr>
        <w:t>T</w:t>
      </w:r>
      <w:r>
        <w:rPr>
          <w:vertAlign w:val="subscript"/>
          <w:lang w:val="en-GB"/>
        </w:rPr>
        <w:t>e</w:t>
      </w:r>
      <w:proofErr w:type="spellEnd"/>
      <w:r>
        <w:rPr>
          <w:lang w:val="en-GB"/>
        </w:rPr>
        <w:t xml:space="preserve"> + </w:t>
      </w:r>
      <w:proofErr w:type="spellStart"/>
      <w:r>
        <w:rPr>
          <w:lang w:val="en-GB"/>
        </w:rPr>
        <w:t>T</w:t>
      </w:r>
      <w:r>
        <w:rPr>
          <w:vertAlign w:val="subscript"/>
          <w:lang w:val="en-GB"/>
        </w:rPr>
        <w:t>e_GNSS</w:t>
      </w:r>
      <w:proofErr w:type="spellEnd"/>
      <w:r>
        <w:rPr>
          <w:lang w:val="en-GB"/>
        </w:rPr>
        <w:t xml:space="preserve"> + </w:t>
      </w:r>
      <w:proofErr w:type="spellStart"/>
      <w:r>
        <w:rPr>
          <w:lang w:val="en-GB"/>
        </w:rPr>
        <w:t>T</w:t>
      </w:r>
      <w:r>
        <w:rPr>
          <w:vertAlign w:val="subscript"/>
          <w:lang w:val="en-GB"/>
        </w:rPr>
        <w:t>e_SAT</w:t>
      </w:r>
      <w:proofErr w:type="spellEnd"/>
      <w:r>
        <w:rPr>
          <w:rFonts w:eastAsia="宋体" w:hint="eastAsia"/>
          <w:kern w:val="0"/>
          <w:sz w:val="22"/>
        </w:rPr>
        <w:t xml:space="preserve">. If we still try to use the legacy assumption, the transmission timing error will be larger than half CP length. Since in R17 there is a criteria when we defining the </w:t>
      </w:r>
      <w:proofErr w:type="spellStart"/>
      <w:r>
        <w:rPr>
          <w:lang w:val="en-GB"/>
        </w:rPr>
        <w:t>T</w:t>
      </w:r>
      <w:r>
        <w:rPr>
          <w:vertAlign w:val="subscript"/>
          <w:lang w:val="en-GB"/>
        </w:rPr>
        <w:t>e_NTN</w:t>
      </w:r>
      <w:proofErr w:type="spellEnd"/>
      <w:r>
        <w:rPr>
          <w:rFonts w:hint="eastAsia"/>
          <w:vertAlign w:val="subscript"/>
        </w:rPr>
        <w:t xml:space="preserve"> </w:t>
      </w:r>
      <w:r>
        <w:rPr>
          <w:rFonts w:eastAsia="宋体" w:hint="eastAsia"/>
          <w:kern w:val="0"/>
          <w:sz w:val="22"/>
        </w:rPr>
        <w:t xml:space="preserve"> by using CP, the gNB can eliminate inter symbol interference caused by multi-path as long as UE fulfill the </w:t>
      </w:r>
      <w:r>
        <w:rPr>
          <w:rFonts w:eastAsia="宋体" w:hint="eastAsia"/>
          <w:kern w:val="0"/>
          <w:sz w:val="22"/>
        </w:rPr>
        <w:t>±</w:t>
      </w:r>
      <w:r>
        <w:rPr>
          <w:rFonts w:eastAsia="宋体" w:hint="eastAsia"/>
          <w:kern w:val="0"/>
          <w:sz w:val="22"/>
        </w:rPr>
        <w:t>Te transmit timing requirements and the requirements in R18 shall also follow that criteria. Based on above and from RAN4 perspective, RAN4 needs to define the new transmit timing requirements in R18 and the performance of UE UL transmission and gNB reception will not be degraded.</w:t>
      </w:r>
    </w:p>
    <w:p w:rsidR="005003C7" w:rsidRDefault="00204F37">
      <w:pPr>
        <w:pStyle w:val="31"/>
        <w:spacing w:line="360" w:lineRule="auto"/>
        <w:jc w:val="both"/>
        <w:rPr>
          <w:rFonts w:eastAsia="宋体"/>
          <w:kern w:val="0"/>
          <w:sz w:val="22"/>
        </w:rPr>
      </w:pPr>
      <w:r>
        <w:rPr>
          <w:rFonts w:eastAsia="宋体" w:hint="eastAsia"/>
          <w:kern w:val="0"/>
          <w:sz w:val="22"/>
        </w:rPr>
        <w:t xml:space="preserve">To define the requirements, one possible method is to extend the CP length, and this approach has little proponents since the ECP discussion will bring too much workload and has RAN1/2 impact which can be failed. The other approach is to tighten the </w:t>
      </w:r>
      <w:proofErr w:type="spellStart"/>
      <w:r>
        <w:rPr>
          <w:lang w:val="en-GB"/>
        </w:rPr>
        <w:t>T</w:t>
      </w:r>
      <w:r>
        <w:rPr>
          <w:vertAlign w:val="subscript"/>
          <w:lang w:val="en-GB"/>
        </w:rPr>
        <w:t>e_NTN</w:t>
      </w:r>
      <w:proofErr w:type="spellEnd"/>
      <w:r>
        <w:rPr>
          <w:lang w:val="en-GB"/>
        </w:rPr>
        <w:t xml:space="preserve"> = </w:t>
      </w:r>
      <w:proofErr w:type="spellStart"/>
      <w:r>
        <w:rPr>
          <w:lang w:val="en-GB"/>
        </w:rPr>
        <w:t>T</w:t>
      </w:r>
      <w:r>
        <w:rPr>
          <w:vertAlign w:val="subscript"/>
          <w:lang w:val="en-GB"/>
        </w:rPr>
        <w:t>e</w:t>
      </w:r>
      <w:proofErr w:type="spellEnd"/>
      <w:r>
        <w:rPr>
          <w:lang w:val="en-GB"/>
        </w:rPr>
        <w:t xml:space="preserve"> + </w:t>
      </w:r>
      <w:proofErr w:type="spellStart"/>
      <w:r>
        <w:rPr>
          <w:lang w:val="en-GB"/>
        </w:rPr>
        <w:t>T</w:t>
      </w:r>
      <w:r>
        <w:rPr>
          <w:vertAlign w:val="subscript"/>
          <w:lang w:val="en-GB"/>
        </w:rPr>
        <w:t>e_GNSS</w:t>
      </w:r>
      <w:proofErr w:type="spellEnd"/>
      <w:r>
        <w:rPr>
          <w:lang w:val="en-GB"/>
        </w:rPr>
        <w:t xml:space="preserve"> + </w:t>
      </w:r>
      <w:proofErr w:type="spellStart"/>
      <w:r>
        <w:rPr>
          <w:lang w:val="en-GB"/>
        </w:rPr>
        <w:t>T</w:t>
      </w:r>
      <w:r>
        <w:rPr>
          <w:vertAlign w:val="subscript"/>
          <w:lang w:val="en-GB"/>
        </w:rPr>
        <w:t>e_</w:t>
      </w:r>
      <w:proofErr w:type="gramStart"/>
      <w:r>
        <w:rPr>
          <w:vertAlign w:val="subscript"/>
          <w:lang w:val="en-GB"/>
        </w:rPr>
        <w:t>SAT</w:t>
      </w:r>
      <w:proofErr w:type="spellEnd"/>
      <w:r>
        <w:rPr>
          <w:rFonts w:hint="eastAsia"/>
          <w:vertAlign w:val="subscript"/>
        </w:rPr>
        <w:t xml:space="preserve"> </w:t>
      </w:r>
      <w:r>
        <w:rPr>
          <w:rFonts w:eastAsia="宋体" w:hint="eastAsia"/>
          <w:kern w:val="0"/>
          <w:sz w:val="22"/>
        </w:rPr>
        <w:t>,</w:t>
      </w:r>
      <w:proofErr w:type="gramEnd"/>
      <w:r>
        <w:rPr>
          <w:rFonts w:eastAsia="宋体" w:hint="eastAsia"/>
          <w:kern w:val="0"/>
          <w:sz w:val="22"/>
        </w:rPr>
        <w:t xml:space="preserve"> which comprises of three parts the legacy Te, the GNSS accuracy which is up to UE implementation, the serving-satellite accuracy which provides the PVT information to UE and estimates its position accuracy. For this approach, we shall consider that criteria, the error budget for UE UL transmission shall not larger than half CP, </w:t>
      </w:r>
    </w:p>
    <w:p w:rsidR="005003C7" w:rsidRDefault="00204F37">
      <w:pPr>
        <w:jc w:val="both"/>
        <w:rPr>
          <w:rFonts w:eastAsia="宋体"/>
          <w:sz w:val="22"/>
          <w:lang w:val="en-US" w:eastAsia="zh-CN"/>
        </w:rPr>
      </w:pPr>
      <w:r>
        <w:rPr>
          <w:rFonts w:eastAsia="宋体" w:hint="eastAsia"/>
          <w:sz w:val="22"/>
          <w:lang w:val="en-US" w:eastAsia="zh-CN"/>
        </w:rPr>
        <w:t xml:space="preserve">In the discussion on R17 NR NTN, the UE UL timing accuracy requirements can be formulated as: </w:t>
      </w:r>
    </w:p>
    <w:p w:rsidR="005003C7" w:rsidRDefault="00204F37">
      <w:pPr>
        <w:ind w:left="568"/>
        <w:jc w:val="both"/>
        <w:rPr>
          <w:rFonts w:eastAsia="宋体"/>
          <w:sz w:val="22"/>
          <w:lang w:val="en-US" w:eastAsia="zh-CN"/>
        </w:rPr>
      </w:pPr>
      <w:proofErr w:type="spellStart"/>
      <w:r>
        <w:rPr>
          <w:rFonts w:eastAsia="宋体" w:hint="eastAsia"/>
          <w:sz w:val="22"/>
          <w:lang w:val="en-US" w:eastAsia="zh-CN"/>
        </w:rPr>
        <w:t>Te_NTN</w:t>
      </w:r>
      <w:proofErr w:type="spellEnd"/>
      <w:r>
        <w:rPr>
          <w:rFonts w:eastAsia="宋体" w:hint="eastAsia"/>
          <w:sz w:val="22"/>
          <w:lang w:val="en-US" w:eastAsia="zh-CN"/>
        </w:rPr>
        <w:t xml:space="preserve"> = </w:t>
      </w:r>
      <w:proofErr w:type="spellStart"/>
      <w:r>
        <w:rPr>
          <w:rFonts w:eastAsia="宋体" w:hint="eastAsia"/>
          <w:sz w:val="22"/>
          <w:lang w:val="en-US" w:eastAsia="zh-CN"/>
        </w:rPr>
        <w:t>Te_TN</w:t>
      </w:r>
      <w:proofErr w:type="spellEnd"/>
      <w:r>
        <w:rPr>
          <w:rFonts w:eastAsia="宋体" w:hint="eastAsia"/>
          <w:sz w:val="22"/>
          <w:lang w:val="en-US" w:eastAsia="zh-CN"/>
        </w:rPr>
        <w:t xml:space="preserve"> + </w:t>
      </w:r>
      <w:proofErr w:type="spellStart"/>
      <w:r>
        <w:rPr>
          <w:rFonts w:eastAsia="宋体" w:hint="eastAsia"/>
          <w:sz w:val="22"/>
          <w:lang w:val="en-US" w:eastAsia="zh-CN"/>
        </w:rPr>
        <w:t>Te_GNSS</w:t>
      </w:r>
      <w:proofErr w:type="spellEnd"/>
      <w:r>
        <w:rPr>
          <w:rFonts w:eastAsia="宋体" w:hint="eastAsia"/>
          <w:sz w:val="22"/>
          <w:lang w:val="en-US" w:eastAsia="zh-CN"/>
        </w:rPr>
        <w:t xml:space="preserve"> + </w:t>
      </w:r>
      <w:proofErr w:type="spellStart"/>
      <w:r>
        <w:rPr>
          <w:rFonts w:eastAsia="宋体" w:hint="eastAsia"/>
          <w:sz w:val="22"/>
          <w:lang w:val="en-US" w:eastAsia="zh-CN"/>
        </w:rPr>
        <w:t>Te_</w:t>
      </w:r>
      <w:proofErr w:type="gramStart"/>
      <w:r>
        <w:rPr>
          <w:rFonts w:eastAsia="宋体" w:hint="eastAsia"/>
          <w:sz w:val="22"/>
          <w:lang w:val="en-US" w:eastAsia="zh-CN"/>
        </w:rPr>
        <w:t>SAT</w:t>
      </w:r>
      <w:proofErr w:type="spellEnd"/>
      <w:r>
        <w:rPr>
          <w:rFonts w:eastAsia="宋体" w:hint="eastAsia"/>
          <w:sz w:val="22"/>
          <w:lang w:val="en-US" w:eastAsia="zh-CN"/>
        </w:rPr>
        <w:t xml:space="preserve"> ,</w:t>
      </w:r>
      <w:proofErr w:type="gramEnd"/>
      <w:r>
        <w:rPr>
          <w:rFonts w:eastAsia="宋体" w:hint="eastAsia"/>
          <w:sz w:val="22"/>
          <w:lang w:val="en-US" w:eastAsia="zh-CN"/>
        </w:rPr>
        <w:t xml:space="preserve"> where</w:t>
      </w:r>
    </w:p>
    <w:p w:rsidR="005003C7" w:rsidRDefault="00204F37">
      <w:pPr>
        <w:numPr>
          <w:ilvl w:val="0"/>
          <w:numId w:val="8"/>
        </w:numPr>
        <w:tabs>
          <w:tab w:val="left" w:pos="1288"/>
        </w:tabs>
        <w:jc w:val="both"/>
        <w:rPr>
          <w:rFonts w:eastAsia="宋体"/>
          <w:sz w:val="22"/>
          <w:lang w:val="en-US" w:eastAsia="zh-CN"/>
        </w:rPr>
      </w:pPr>
      <w:proofErr w:type="spellStart"/>
      <w:r>
        <w:rPr>
          <w:rFonts w:eastAsia="宋体" w:hint="eastAsia"/>
          <w:sz w:val="22"/>
          <w:lang w:val="en-US" w:eastAsia="zh-CN"/>
        </w:rPr>
        <w:t>Te_TN</w:t>
      </w:r>
      <w:proofErr w:type="spellEnd"/>
      <w:r>
        <w:rPr>
          <w:rFonts w:eastAsia="宋体" w:hint="eastAsia"/>
          <w:sz w:val="22"/>
          <w:lang w:val="en-US" w:eastAsia="zh-CN"/>
        </w:rPr>
        <w:t xml:space="preserve">: Legacy TN UE UL Timing Accuracy </w:t>
      </w:r>
    </w:p>
    <w:p w:rsidR="005003C7" w:rsidRDefault="00204F37">
      <w:pPr>
        <w:numPr>
          <w:ilvl w:val="0"/>
          <w:numId w:val="8"/>
        </w:numPr>
        <w:jc w:val="both"/>
        <w:rPr>
          <w:rFonts w:eastAsia="宋体"/>
          <w:sz w:val="22"/>
          <w:lang w:val="en-US" w:eastAsia="zh-CN"/>
        </w:rPr>
      </w:pPr>
      <w:r>
        <w:rPr>
          <w:rFonts w:eastAsia="宋体" w:hint="eastAsia"/>
          <w:sz w:val="22"/>
          <w:lang w:val="en-US" w:eastAsia="zh-CN"/>
        </w:rPr>
        <w:t xml:space="preserve">                  </w:t>
      </w:r>
      <w:proofErr w:type="spellStart"/>
      <w:r>
        <w:rPr>
          <w:rFonts w:eastAsia="宋体" w:hint="eastAsia"/>
          <w:sz w:val="22"/>
          <w:lang w:val="en-US" w:eastAsia="zh-CN"/>
        </w:rPr>
        <w:t>Te_GNSS</w:t>
      </w:r>
      <w:proofErr w:type="spellEnd"/>
      <w:r>
        <w:rPr>
          <w:rFonts w:eastAsia="宋体" w:hint="eastAsia"/>
          <w:sz w:val="22"/>
          <w:lang w:val="en-US" w:eastAsia="zh-CN"/>
        </w:rPr>
        <w:t xml:space="preserve"> is the GNSS accuracy, </w:t>
      </w:r>
      <w:proofErr w:type="spellStart"/>
      <w:r>
        <w:rPr>
          <w:rFonts w:eastAsia="宋体" w:hint="eastAsia"/>
          <w:sz w:val="22"/>
          <w:lang w:val="en-US" w:eastAsia="zh-CN"/>
        </w:rPr>
        <w:t>Te_GNSS</w:t>
      </w:r>
      <w:proofErr w:type="spellEnd"/>
      <w:r>
        <w:rPr>
          <w:rFonts w:eastAsia="宋体" w:hint="eastAsia"/>
          <w:sz w:val="22"/>
          <w:lang w:val="en-US" w:eastAsia="zh-CN"/>
        </w:rPr>
        <w:t xml:space="preserve"> = 2* (GNSS positioning accuracy/c);</w:t>
      </w:r>
    </w:p>
    <w:p w:rsidR="005003C7" w:rsidRDefault="00204F37">
      <w:pPr>
        <w:numPr>
          <w:ilvl w:val="0"/>
          <w:numId w:val="8"/>
        </w:numPr>
        <w:jc w:val="both"/>
        <w:rPr>
          <w:rFonts w:eastAsia="宋体"/>
          <w:sz w:val="22"/>
          <w:lang w:val="en-US" w:eastAsia="zh-CN"/>
        </w:rPr>
      </w:pPr>
      <w:r>
        <w:rPr>
          <w:rFonts w:eastAsia="宋体" w:hint="eastAsia"/>
          <w:sz w:val="22"/>
          <w:lang w:val="en-US" w:eastAsia="zh-CN"/>
        </w:rPr>
        <w:t xml:space="preserve">                  </w:t>
      </w:r>
      <w:proofErr w:type="spellStart"/>
      <w:r>
        <w:rPr>
          <w:rFonts w:eastAsia="宋体" w:hint="eastAsia"/>
          <w:sz w:val="22"/>
          <w:lang w:val="en-US" w:eastAsia="zh-CN"/>
        </w:rPr>
        <w:t>Te_SAT</w:t>
      </w:r>
      <w:proofErr w:type="spellEnd"/>
      <w:r>
        <w:rPr>
          <w:rFonts w:eastAsia="宋体" w:hint="eastAsia"/>
          <w:sz w:val="22"/>
          <w:lang w:val="en-US" w:eastAsia="zh-CN"/>
        </w:rPr>
        <w:t xml:space="preserve"> is the serving-satellite position estimation error, </w:t>
      </w:r>
      <w:proofErr w:type="spellStart"/>
      <w:r>
        <w:rPr>
          <w:rFonts w:eastAsia="宋体" w:hint="eastAsia"/>
          <w:sz w:val="22"/>
          <w:lang w:val="en-US" w:eastAsia="zh-CN"/>
        </w:rPr>
        <w:t>Te_SAT</w:t>
      </w:r>
      <w:proofErr w:type="spellEnd"/>
      <w:r>
        <w:rPr>
          <w:rFonts w:eastAsia="宋体" w:hint="eastAsia"/>
          <w:sz w:val="22"/>
          <w:lang w:val="en-US" w:eastAsia="zh-CN"/>
        </w:rPr>
        <w:t xml:space="preserve"> = 2* (serving-satellite positioning estimation accuracy /c)</w:t>
      </w:r>
    </w:p>
    <w:p w:rsidR="005003C7" w:rsidRDefault="00204F37">
      <w:pPr>
        <w:jc w:val="both"/>
        <w:rPr>
          <w:rFonts w:eastAsia="宋体"/>
          <w:sz w:val="22"/>
          <w:lang w:val="en-US" w:eastAsia="zh-CN"/>
        </w:rPr>
      </w:pPr>
      <w:r>
        <w:rPr>
          <w:rFonts w:eastAsia="宋体" w:hint="eastAsia"/>
          <w:sz w:val="22"/>
          <w:lang w:val="en-US" w:eastAsia="zh-CN"/>
        </w:rPr>
        <w:lastRenderedPageBreak/>
        <w:t xml:space="preserve">Besides, additional timing error can be introduced by the following factors:  </w:t>
      </w:r>
    </w:p>
    <w:p w:rsidR="005003C7" w:rsidRDefault="00204F37">
      <w:pPr>
        <w:numPr>
          <w:ilvl w:val="0"/>
          <w:numId w:val="8"/>
        </w:numPr>
        <w:tabs>
          <w:tab w:val="left" w:pos="1288"/>
        </w:tabs>
        <w:jc w:val="both"/>
        <w:rPr>
          <w:rFonts w:eastAsia="宋体"/>
          <w:sz w:val="22"/>
          <w:lang w:val="en-US" w:eastAsia="zh-CN"/>
        </w:rPr>
      </w:pPr>
      <w:r>
        <w:rPr>
          <w:rFonts w:eastAsia="宋体" w:hint="eastAsia"/>
          <w:sz w:val="22"/>
          <w:lang w:val="en-US" w:eastAsia="zh-CN"/>
        </w:rPr>
        <w:t>TA command resolution error (section 4.2, TS 38.213)</w:t>
      </w:r>
    </w:p>
    <w:p w:rsidR="005003C7" w:rsidRDefault="00204F37">
      <w:pPr>
        <w:numPr>
          <w:ilvl w:val="0"/>
          <w:numId w:val="8"/>
        </w:numPr>
        <w:tabs>
          <w:tab w:val="left" w:pos="1288"/>
        </w:tabs>
        <w:jc w:val="both"/>
        <w:rPr>
          <w:rFonts w:eastAsia="宋体"/>
          <w:sz w:val="22"/>
          <w:lang w:val="en-US" w:eastAsia="zh-CN"/>
        </w:rPr>
      </w:pPr>
      <w:r>
        <w:rPr>
          <w:rFonts w:eastAsia="宋体" w:hint="eastAsia"/>
          <w:sz w:val="22"/>
          <w:lang w:val="en-US" w:eastAsia="zh-CN"/>
        </w:rPr>
        <w:t>TA adjustment accuracy (section 7.3.2, TS 38.133)</w:t>
      </w:r>
    </w:p>
    <w:p w:rsidR="005003C7" w:rsidRDefault="00204F37">
      <w:pPr>
        <w:pStyle w:val="31"/>
        <w:spacing w:line="360" w:lineRule="auto"/>
        <w:jc w:val="both"/>
        <w:rPr>
          <w:rFonts w:eastAsia="宋体"/>
          <w:kern w:val="0"/>
          <w:sz w:val="22"/>
        </w:rPr>
      </w:pPr>
      <w:r>
        <w:rPr>
          <w:rFonts w:eastAsia="宋体" w:hint="eastAsia"/>
          <w:kern w:val="0"/>
          <w:sz w:val="22"/>
        </w:rPr>
        <w:t>The table can be as below:</w:t>
      </w:r>
    </w:p>
    <w:tbl>
      <w:tblPr>
        <w:tblStyle w:val="ab"/>
        <w:tblW w:w="0" w:type="auto"/>
        <w:tblLook w:val="04A0" w:firstRow="1" w:lastRow="0" w:firstColumn="1" w:lastColumn="0" w:noHBand="0" w:noVBand="1"/>
      </w:tblPr>
      <w:tblGrid>
        <w:gridCol w:w="1084"/>
        <w:gridCol w:w="1390"/>
        <w:gridCol w:w="1199"/>
        <w:gridCol w:w="1188"/>
        <w:gridCol w:w="1216"/>
        <w:gridCol w:w="1113"/>
        <w:gridCol w:w="1216"/>
        <w:gridCol w:w="1225"/>
      </w:tblGrid>
      <w:tr w:rsidR="005003C7">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SCS of SSB (KHz)</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SCS of uplink signals(KHz)</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0.5 CP length(Ts)</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TA command resolution error (Ts)</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TA adjustment accuracy (Ts)</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Legacy Te (Ts)</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 xml:space="preserve">Remaining </w:t>
            </w:r>
            <w:proofErr w:type="spellStart"/>
            <w:r>
              <w:rPr>
                <w:rFonts w:eastAsia="宋体" w:hint="eastAsia"/>
                <w:kern w:val="0"/>
                <w:sz w:val="22"/>
              </w:rPr>
              <w:t>Te_GNSS</w:t>
            </w:r>
            <w:proofErr w:type="spellEnd"/>
            <w:r>
              <w:rPr>
                <w:rFonts w:eastAsia="宋体" w:hint="eastAsia"/>
                <w:kern w:val="0"/>
                <w:sz w:val="22"/>
              </w:rPr>
              <w:t xml:space="preserve"> + </w:t>
            </w:r>
            <w:proofErr w:type="spellStart"/>
            <w:r>
              <w:rPr>
                <w:rFonts w:eastAsia="宋体" w:hint="eastAsia"/>
                <w:kern w:val="0"/>
                <w:sz w:val="22"/>
              </w:rPr>
              <w:t>Te_SAT</w:t>
            </w:r>
            <w:proofErr w:type="spellEnd"/>
            <w:r>
              <w:rPr>
                <w:rFonts w:eastAsia="宋体" w:hint="eastAsia"/>
                <w:kern w:val="0"/>
                <w:sz w:val="22"/>
              </w:rPr>
              <w:t xml:space="preserve"> (Ts) </w:t>
            </w:r>
          </w:p>
        </w:tc>
        <w:tc>
          <w:tcPr>
            <w:tcW w:w="1233" w:type="dxa"/>
          </w:tcPr>
          <w:p w:rsidR="005003C7" w:rsidRDefault="00204F37">
            <w:pPr>
              <w:pStyle w:val="31"/>
              <w:spacing w:line="360" w:lineRule="auto"/>
              <w:jc w:val="both"/>
              <w:rPr>
                <w:rFonts w:eastAsia="宋体"/>
                <w:kern w:val="0"/>
                <w:sz w:val="22"/>
              </w:rPr>
            </w:pPr>
            <w:r>
              <w:rPr>
                <w:rFonts w:eastAsia="宋体" w:hint="eastAsia"/>
                <w:kern w:val="0"/>
                <w:sz w:val="22"/>
              </w:rPr>
              <w:t>Proper positioning error (m)</w:t>
            </w:r>
          </w:p>
        </w:tc>
      </w:tr>
      <w:tr w:rsidR="005003C7">
        <w:tc>
          <w:tcPr>
            <w:tcW w:w="1232" w:type="dxa"/>
            <w:vMerge w:val="restart"/>
          </w:tcPr>
          <w:p w:rsidR="005003C7" w:rsidRDefault="00204F37">
            <w:pPr>
              <w:pStyle w:val="31"/>
              <w:spacing w:line="360" w:lineRule="auto"/>
              <w:jc w:val="both"/>
              <w:rPr>
                <w:rFonts w:eastAsia="宋体"/>
                <w:kern w:val="0"/>
                <w:sz w:val="22"/>
              </w:rPr>
            </w:pPr>
            <w:r>
              <w:rPr>
                <w:rFonts w:eastAsia="宋体" w:hint="eastAsia"/>
                <w:kern w:val="0"/>
                <w:sz w:val="22"/>
              </w:rPr>
              <w:t>120</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60</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18</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2</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2</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3.5</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10.5</w:t>
            </w:r>
          </w:p>
        </w:tc>
        <w:tc>
          <w:tcPr>
            <w:tcW w:w="1233" w:type="dxa"/>
          </w:tcPr>
          <w:p w:rsidR="005003C7" w:rsidRDefault="00204F37">
            <w:pPr>
              <w:pStyle w:val="31"/>
              <w:spacing w:line="360" w:lineRule="auto"/>
              <w:jc w:val="both"/>
              <w:rPr>
                <w:rFonts w:eastAsia="宋体"/>
                <w:kern w:val="0"/>
                <w:sz w:val="22"/>
              </w:rPr>
            </w:pPr>
            <w:r>
              <w:rPr>
                <w:rFonts w:eastAsia="宋体" w:hint="eastAsia"/>
                <w:kern w:val="0"/>
                <w:sz w:val="22"/>
              </w:rPr>
              <w:t>52.5</w:t>
            </w:r>
          </w:p>
        </w:tc>
      </w:tr>
      <w:tr w:rsidR="005003C7">
        <w:tc>
          <w:tcPr>
            <w:tcW w:w="1232" w:type="dxa"/>
            <w:vMerge/>
          </w:tcPr>
          <w:p w:rsidR="005003C7" w:rsidRDefault="005003C7">
            <w:pPr>
              <w:pStyle w:val="31"/>
              <w:spacing w:line="360" w:lineRule="auto"/>
              <w:jc w:val="both"/>
              <w:rPr>
                <w:rFonts w:eastAsia="宋体"/>
                <w:kern w:val="0"/>
                <w:sz w:val="22"/>
              </w:rPr>
            </w:pP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120</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9</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1</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0.5</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3.5</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4</w:t>
            </w:r>
          </w:p>
        </w:tc>
        <w:tc>
          <w:tcPr>
            <w:tcW w:w="1233"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20</w:t>
            </w:r>
          </w:p>
        </w:tc>
      </w:tr>
      <w:tr w:rsidR="005003C7">
        <w:tc>
          <w:tcPr>
            <w:tcW w:w="1232" w:type="dxa"/>
            <w:vMerge w:val="restart"/>
          </w:tcPr>
          <w:p w:rsidR="005003C7" w:rsidRDefault="00204F37">
            <w:pPr>
              <w:pStyle w:val="31"/>
              <w:spacing w:line="360" w:lineRule="auto"/>
              <w:jc w:val="both"/>
              <w:rPr>
                <w:rFonts w:eastAsia="宋体"/>
                <w:kern w:val="0"/>
                <w:sz w:val="22"/>
              </w:rPr>
            </w:pPr>
            <w:r>
              <w:rPr>
                <w:rFonts w:eastAsia="宋体" w:hint="eastAsia"/>
                <w:kern w:val="0"/>
                <w:sz w:val="22"/>
              </w:rPr>
              <w:t>240</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60</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18</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2</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2</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3</w:t>
            </w:r>
          </w:p>
        </w:tc>
        <w:tc>
          <w:tcPr>
            <w:tcW w:w="1232" w:type="dxa"/>
          </w:tcPr>
          <w:p w:rsidR="005003C7" w:rsidRDefault="00204F37">
            <w:pPr>
              <w:pStyle w:val="31"/>
              <w:spacing w:line="360" w:lineRule="auto"/>
              <w:jc w:val="both"/>
              <w:rPr>
                <w:rFonts w:eastAsia="宋体"/>
                <w:kern w:val="0"/>
                <w:sz w:val="22"/>
              </w:rPr>
            </w:pPr>
            <w:r>
              <w:rPr>
                <w:rFonts w:eastAsia="宋体" w:hint="eastAsia"/>
                <w:kern w:val="0"/>
                <w:sz w:val="22"/>
              </w:rPr>
              <w:t>11</w:t>
            </w:r>
          </w:p>
        </w:tc>
        <w:tc>
          <w:tcPr>
            <w:tcW w:w="1233" w:type="dxa"/>
          </w:tcPr>
          <w:p w:rsidR="005003C7" w:rsidRDefault="00204F37">
            <w:pPr>
              <w:pStyle w:val="31"/>
              <w:spacing w:line="360" w:lineRule="auto"/>
              <w:jc w:val="both"/>
              <w:rPr>
                <w:rFonts w:eastAsia="宋体"/>
                <w:kern w:val="0"/>
                <w:sz w:val="22"/>
              </w:rPr>
            </w:pPr>
            <w:r>
              <w:rPr>
                <w:rFonts w:eastAsia="宋体" w:hint="eastAsia"/>
                <w:kern w:val="0"/>
                <w:sz w:val="22"/>
              </w:rPr>
              <w:t>55</w:t>
            </w:r>
          </w:p>
        </w:tc>
      </w:tr>
      <w:tr w:rsidR="005003C7">
        <w:tc>
          <w:tcPr>
            <w:tcW w:w="1232" w:type="dxa"/>
            <w:vMerge/>
          </w:tcPr>
          <w:p w:rsidR="005003C7" w:rsidRDefault="005003C7">
            <w:pPr>
              <w:pStyle w:val="31"/>
              <w:spacing w:line="360" w:lineRule="auto"/>
              <w:jc w:val="both"/>
              <w:rPr>
                <w:rFonts w:eastAsia="宋体"/>
                <w:kern w:val="0"/>
                <w:sz w:val="22"/>
              </w:rPr>
            </w:pP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120</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9</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1</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0.5</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3</w:t>
            </w:r>
          </w:p>
        </w:tc>
        <w:tc>
          <w:tcPr>
            <w:tcW w:w="1232"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4</w:t>
            </w:r>
          </w:p>
        </w:tc>
        <w:tc>
          <w:tcPr>
            <w:tcW w:w="1233" w:type="dxa"/>
          </w:tcPr>
          <w:p w:rsidR="005003C7" w:rsidRPr="00F7745B" w:rsidRDefault="00204F37">
            <w:pPr>
              <w:pStyle w:val="31"/>
              <w:spacing w:line="360" w:lineRule="auto"/>
              <w:jc w:val="both"/>
              <w:rPr>
                <w:rFonts w:eastAsia="宋体"/>
                <w:kern w:val="0"/>
                <w:sz w:val="22"/>
                <w:highlight w:val="yellow"/>
              </w:rPr>
            </w:pPr>
            <w:r w:rsidRPr="00F7745B">
              <w:rPr>
                <w:rFonts w:eastAsia="宋体" w:hint="eastAsia"/>
                <w:kern w:val="0"/>
                <w:sz w:val="22"/>
                <w:highlight w:val="yellow"/>
              </w:rPr>
              <w:t>20</w:t>
            </w:r>
          </w:p>
        </w:tc>
      </w:tr>
    </w:tbl>
    <w:p w:rsidR="005003C7" w:rsidRDefault="00204F37">
      <w:pPr>
        <w:pStyle w:val="31"/>
        <w:spacing w:line="360" w:lineRule="auto"/>
        <w:jc w:val="both"/>
        <w:rPr>
          <w:rFonts w:eastAsia="宋体"/>
          <w:kern w:val="0"/>
          <w:sz w:val="22"/>
        </w:rPr>
      </w:pPr>
      <w:r>
        <w:rPr>
          <w:rFonts w:eastAsia="宋体" w:hint="eastAsia"/>
          <w:kern w:val="0"/>
          <w:sz w:val="22"/>
        </w:rPr>
        <w:t xml:space="preserve">Based on the above table, the 50m for GNSS accuracy and 30m for serving-satellite accuracy are not suitable for </w:t>
      </w:r>
      <w:proofErr w:type="spellStart"/>
      <w:r>
        <w:rPr>
          <w:rFonts w:eastAsia="宋体" w:hint="eastAsia"/>
          <w:kern w:val="0"/>
          <w:sz w:val="22"/>
        </w:rPr>
        <w:t>Ka</w:t>
      </w:r>
      <w:proofErr w:type="spellEnd"/>
      <w:r>
        <w:rPr>
          <w:rFonts w:eastAsia="宋体" w:hint="eastAsia"/>
          <w:kern w:val="0"/>
          <w:sz w:val="22"/>
        </w:rPr>
        <w:t xml:space="preserve"> band in NTN, what we need to do is tighten the total positioning error (</w:t>
      </w:r>
      <w:proofErr w:type="spellStart"/>
      <w:r>
        <w:rPr>
          <w:rFonts w:eastAsia="宋体" w:hint="eastAsia"/>
          <w:kern w:val="0"/>
          <w:sz w:val="22"/>
        </w:rPr>
        <w:t>Te_NTN</w:t>
      </w:r>
      <w:proofErr w:type="spellEnd"/>
      <w:r>
        <w:rPr>
          <w:rFonts w:eastAsia="宋体" w:hint="eastAsia"/>
          <w:kern w:val="0"/>
          <w:sz w:val="22"/>
        </w:rPr>
        <w:t xml:space="preserve"> = </w:t>
      </w:r>
      <w:proofErr w:type="spellStart"/>
      <w:r>
        <w:rPr>
          <w:rFonts w:eastAsia="宋体" w:hint="eastAsia"/>
          <w:kern w:val="0"/>
          <w:sz w:val="22"/>
        </w:rPr>
        <w:t>Te_TN</w:t>
      </w:r>
      <w:proofErr w:type="spellEnd"/>
      <w:r>
        <w:rPr>
          <w:rFonts w:eastAsia="宋体" w:hint="eastAsia"/>
          <w:kern w:val="0"/>
          <w:sz w:val="22"/>
        </w:rPr>
        <w:t xml:space="preserve"> + </w:t>
      </w:r>
      <w:proofErr w:type="spellStart"/>
      <w:r>
        <w:rPr>
          <w:rFonts w:eastAsia="宋体" w:hint="eastAsia"/>
          <w:kern w:val="0"/>
          <w:sz w:val="22"/>
        </w:rPr>
        <w:t>Te_GNSS</w:t>
      </w:r>
      <w:proofErr w:type="spellEnd"/>
      <w:r>
        <w:rPr>
          <w:rFonts w:eastAsia="宋体" w:hint="eastAsia"/>
          <w:kern w:val="0"/>
          <w:sz w:val="22"/>
        </w:rPr>
        <w:t xml:space="preserve"> + </w:t>
      </w:r>
      <w:proofErr w:type="spellStart"/>
      <w:r>
        <w:rPr>
          <w:rFonts w:eastAsia="宋体" w:hint="eastAsia"/>
          <w:kern w:val="0"/>
          <w:sz w:val="22"/>
        </w:rPr>
        <w:t>Te_SAT</w:t>
      </w:r>
      <w:proofErr w:type="spellEnd"/>
      <w:r>
        <w:rPr>
          <w:rFonts w:eastAsia="宋体" w:hint="eastAsia"/>
          <w:kern w:val="0"/>
          <w:sz w:val="22"/>
        </w:rPr>
        <w:t>). the GNSS positioning error in difference scenarios can be summarized based on TS38.171 as below:</w:t>
      </w:r>
    </w:p>
    <w:tbl>
      <w:tblPr>
        <w:tblStyle w:val="ab"/>
        <w:tblW w:w="0" w:type="auto"/>
        <w:tblLook w:val="04A0" w:firstRow="1" w:lastRow="0" w:firstColumn="1" w:lastColumn="0" w:noHBand="0" w:noVBand="1"/>
      </w:tblPr>
      <w:tblGrid>
        <w:gridCol w:w="1603"/>
        <w:gridCol w:w="1603"/>
        <w:gridCol w:w="1603"/>
        <w:gridCol w:w="1604"/>
        <w:gridCol w:w="1604"/>
        <w:gridCol w:w="1604"/>
      </w:tblGrid>
      <w:tr w:rsidR="005003C7">
        <w:tc>
          <w:tcPr>
            <w:tcW w:w="1603" w:type="dxa"/>
            <w:vAlign w:val="center"/>
          </w:tcPr>
          <w:p w:rsidR="005003C7" w:rsidRDefault="00204F37">
            <w:pPr>
              <w:widowControl w:val="0"/>
              <w:adjustRightInd w:val="0"/>
              <w:snapToGrid w:val="0"/>
              <w:spacing w:after="0"/>
              <w:jc w:val="center"/>
              <w:rPr>
                <w:rFonts w:eastAsia="宋体"/>
                <w:b/>
                <w:lang w:eastAsia="zh-CN"/>
              </w:rPr>
            </w:pPr>
            <w:r>
              <w:rPr>
                <w:rFonts w:eastAsia="宋体" w:hint="eastAsia"/>
                <w:b/>
                <w:lang w:eastAsia="zh-CN"/>
              </w:rPr>
              <w:t>S</w:t>
            </w:r>
            <w:r>
              <w:rPr>
                <w:rFonts w:eastAsia="宋体"/>
                <w:b/>
                <w:lang w:eastAsia="zh-CN"/>
              </w:rPr>
              <w:t>cenario Type</w:t>
            </w:r>
          </w:p>
        </w:tc>
        <w:tc>
          <w:tcPr>
            <w:tcW w:w="1603" w:type="dxa"/>
            <w:vAlign w:val="center"/>
          </w:tcPr>
          <w:p w:rsidR="005003C7" w:rsidRDefault="00204F37">
            <w:pPr>
              <w:widowControl w:val="0"/>
              <w:adjustRightInd w:val="0"/>
              <w:snapToGrid w:val="0"/>
              <w:spacing w:after="0"/>
              <w:jc w:val="center"/>
              <w:rPr>
                <w:rFonts w:eastAsia="宋体"/>
                <w:lang w:eastAsia="zh-CN"/>
              </w:rPr>
            </w:pPr>
            <w:r>
              <w:rPr>
                <w:rFonts w:eastAsia="宋体"/>
                <w:lang w:eastAsia="zh-CN"/>
              </w:rPr>
              <w:t>Weak satellite signal conditions</w:t>
            </w:r>
          </w:p>
        </w:tc>
        <w:tc>
          <w:tcPr>
            <w:tcW w:w="1603" w:type="dxa"/>
            <w:vAlign w:val="center"/>
          </w:tcPr>
          <w:p w:rsidR="005003C7" w:rsidRDefault="00204F37">
            <w:pPr>
              <w:widowControl w:val="0"/>
              <w:adjustRightInd w:val="0"/>
              <w:snapToGrid w:val="0"/>
              <w:spacing w:after="0"/>
              <w:jc w:val="center"/>
              <w:rPr>
                <w:rFonts w:eastAsia="宋体"/>
                <w:lang w:eastAsia="zh-CN"/>
              </w:rPr>
            </w:pPr>
            <w:r>
              <w:rPr>
                <w:rFonts w:eastAsia="宋体"/>
                <w:lang w:eastAsia="zh-CN"/>
              </w:rPr>
              <w:t>Ideal conditions</w:t>
            </w:r>
          </w:p>
        </w:tc>
        <w:tc>
          <w:tcPr>
            <w:tcW w:w="1604" w:type="dxa"/>
            <w:vAlign w:val="center"/>
          </w:tcPr>
          <w:p w:rsidR="005003C7" w:rsidRDefault="00204F37">
            <w:pPr>
              <w:widowControl w:val="0"/>
              <w:adjustRightInd w:val="0"/>
              <w:snapToGrid w:val="0"/>
              <w:spacing w:after="0"/>
              <w:jc w:val="center"/>
              <w:rPr>
                <w:rFonts w:eastAsia="宋体"/>
                <w:lang w:eastAsia="zh-CN"/>
              </w:rPr>
            </w:pPr>
            <w:r>
              <w:rPr>
                <w:rFonts w:eastAsia="宋体"/>
                <w:lang w:eastAsia="zh-CN"/>
              </w:rPr>
              <w:t>Satellites with rather different signal levels</w:t>
            </w:r>
          </w:p>
        </w:tc>
        <w:tc>
          <w:tcPr>
            <w:tcW w:w="1604" w:type="dxa"/>
            <w:vAlign w:val="center"/>
          </w:tcPr>
          <w:p w:rsidR="005003C7" w:rsidRDefault="00204F37">
            <w:pPr>
              <w:widowControl w:val="0"/>
              <w:adjustRightInd w:val="0"/>
              <w:snapToGrid w:val="0"/>
              <w:spacing w:after="0"/>
              <w:jc w:val="center"/>
              <w:rPr>
                <w:rFonts w:eastAsia="宋体"/>
                <w:lang w:eastAsia="zh-CN"/>
              </w:rPr>
            </w:pPr>
            <w:r>
              <w:rPr>
                <w:rFonts w:eastAsia="宋体"/>
                <w:lang w:eastAsia="zh-CN"/>
              </w:rPr>
              <w:t>Multi-path Scenario</w:t>
            </w:r>
          </w:p>
        </w:tc>
        <w:tc>
          <w:tcPr>
            <w:tcW w:w="1604" w:type="dxa"/>
            <w:vAlign w:val="center"/>
          </w:tcPr>
          <w:p w:rsidR="005003C7" w:rsidRDefault="00204F37">
            <w:pPr>
              <w:widowControl w:val="0"/>
              <w:adjustRightInd w:val="0"/>
              <w:snapToGrid w:val="0"/>
              <w:spacing w:after="0"/>
              <w:jc w:val="center"/>
              <w:rPr>
                <w:rFonts w:eastAsia="宋体"/>
                <w:lang w:eastAsia="zh-CN"/>
              </w:rPr>
            </w:pPr>
            <w:r>
              <w:rPr>
                <w:rFonts w:eastAsia="宋体"/>
                <w:lang w:eastAsia="zh-CN"/>
              </w:rPr>
              <w:t>Moving scenario with periodic update</w:t>
            </w:r>
          </w:p>
        </w:tc>
      </w:tr>
      <w:tr w:rsidR="005003C7">
        <w:tc>
          <w:tcPr>
            <w:tcW w:w="1603" w:type="dxa"/>
          </w:tcPr>
          <w:p w:rsidR="005003C7" w:rsidRDefault="00204F37">
            <w:pPr>
              <w:widowControl w:val="0"/>
              <w:adjustRightInd w:val="0"/>
              <w:snapToGrid w:val="0"/>
              <w:spacing w:after="0"/>
              <w:jc w:val="center"/>
              <w:rPr>
                <w:rFonts w:eastAsia="宋体"/>
                <w:b/>
                <w:lang w:eastAsia="zh-CN"/>
              </w:rPr>
            </w:pPr>
            <w:r>
              <w:rPr>
                <w:rFonts w:eastAsia="宋体" w:hint="eastAsia"/>
                <w:b/>
                <w:lang w:eastAsia="zh-CN"/>
              </w:rPr>
              <w:t>P</w:t>
            </w:r>
            <w:r>
              <w:rPr>
                <w:rFonts w:eastAsia="宋体"/>
                <w:b/>
                <w:lang w:eastAsia="zh-CN"/>
              </w:rPr>
              <w:t>osition Error</w:t>
            </w:r>
          </w:p>
        </w:tc>
        <w:tc>
          <w:tcPr>
            <w:tcW w:w="1603" w:type="dxa"/>
          </w:tcPr>
          <w:p w:rsidR="005003C7" w:rsidRDefault="00204F37">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00 m</w:t>
            </w:r>
          </w:p>
        </w:tc>
        <w:tc>
          <w:tcPr>
            <w:tcW w:w="1603" w:type="dxa"/>
          </w:tcPr>
          <w:p w:rsidR="005003C7" w:rsidRDefault="00204F37">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5 m</w:t>
            </w:r>
          </w:p>
        </w:tc>
        <w:tc>
          <w:tcPr>
            <w:tcW w:w="1604" w:type="dxa"/>
          </w:tcPr>
          <w:p w:rsidR="005003C7" w:rsidRDefault="00204F37">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00 m</w:t>
            </w:r>
          </w:p>
        </w:tc>
        <w:tc>
          <w:tcPr>
            <w:tcW w:w="1604" w:type="dxa"/>
          </w:tcPr>
          <w:p w:rsidR="005003C7" w:rsidRDefault="00204F37">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00 m</w:t>
            </w:r>
          </w:p>
        </w:tc>
        <w:tc>
          <w:tcPr>
            <w:tcW w:w="1604" w:type="dxa"/>
          </w:tcPr>
          <w:p w:rsidR="005003C7" w:rsidRDefault="00204F37">
            <w:pPr>
              <w:widowControl w:val="0"/>
              <w:adjustRightInd w:val="0"/>
              <w:snapToGrid w:val="0"/>
              <w:spacing w:after="0"/>
              <w:jc w:val="center"/>
              <w:rPr>
                <w:rFonts w:eastAsia="宋体"/>
                <w:lang w:eastAsia="zh-CN"/>
              </w:rPr>
            </w:pPr>
            <w:r>
              <w:rPr>
                <w:rFonts w:eastAsia="宋体"/>
                <w:lang w:eastAsia="zh-CN"/>
              </w:rPr>
              <w:t>50 m</w:t>
            </w:r>
          </w:p>
        </w:tc>
      </w:tr>
    </w:tbl>
    <w:p w:rsidR="00F7745B" w:rsidRDefault="00F7745B">
      <w:pPr>
        <w:spacing w:after="0" w:line="360" w:lineRule="auto"/>
        <w:rPr>
          <w:rFonts w:eastAsia="宋体"/>
          <w:bCs/>
          <w:sz w:val="22"/>
          <w:szCs w:val="22"/>
          <w:lang w:val="en-US" w:eastAsia="zh-CN"/>
        </w:rPr>
      </w:pPr>
    </w:p>
    <w:p w:rsidR="005003C7" w:rsidRDefault="00204F37">
      <w:pPr>
        <w:spacing w:after="0" w:line="360" w:lineRule="auto"/>
        <w:rPr>
          <w:rFonts w:eastAsia="宋体"/>
          <w:bCs/>
          <w:sz w:val="22"/>
          <w:szCs w:val="22"/>
          <w:lang w:val="en-US" w:eastAsia="zh-CN"/>
        </w:rPr>
      </w:pPr>
      <w:r>
        <w:rPr>
          <w:rFonts w:eastAsia="宋体" w:hint="eastAsia"/>
          <w:bCs/>
          <w:sz w:val="22"/>
          <w:szCs w:val="22"/>
          <w:lang w:val="en-US" w:eastAsia="zh-CN"/>
        </w:rPr>
        <w:t>We can focus on the highlight above the table related to the 120kHz, based on the rules when defining the Te requirements we deem that the requirements shall not be defined for 120kHz since the total budget already exceeds the 0.5CP length, the same situation in ATG scenario when defining the Te requirement for 60kHz. Some companies deem that the common requirements shall be defined for different requirements, from my perspective, we shall study the different requirements under different SCS: For legacy requirements we had different requirements for different SCS the 15kHz and 30kHz as below:</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tblGrid>
      <w:tr w:rsidR="005003C7">
        <w:trPr>
          <w:cantSplit/>
          <w:jc w:val="center"/>
        </w:trPr>
        <w:tc>
          <w:tcPr>
            <w:tcW w:w="1033" w:type="pct"/>
            <w:vAlign w:val="center"/>
          </w:tcPr>
          <w:p w:rsidR="005003C7" w:rsidRDefault="00204F37">
            <w:pPr>
              <w:pStyle w:val="TAH"/>
              <w:rPr>
                <w:rFonts w:eastAsia="宋体"/>
              </w:rPr>
            </w:pPr>
            <w:r>
              <w:rPr>
                <w:rFonts w:eastAsia="宋体"/>
              </w:rPr>
              <w:t>Frequency Range</w:t>
            </w:r>
          </w:p>
        </w:tc>
        <w:tc>
          <w:tcPr>
            <w:tcW w:w="1244" w:type="pct"/>
            <w:vAlign w:val="center"/>
          </w:tcPr>
          <w:p w:rsidR="005003C7" w:rsidRDefault="00204F37">
            <w:pPr>
              <w:pStyle w:val="TAH"/>
              <w:rPr>
                <w:rFonts w:eastAsia="宋体"/>
              </w:rPr>
            </w:pPr>
            <w:r>
              <w:rPr>
                <w:rFonts w:eastAsia="宋体"/>
              </w:rPr>
              <w:t>SCS of SSB signals (kHz)</w:t>
            </w:r>
          </w:p>
        </w:tc>
        <w:tc>
          <w:tcPr>
            <w:tcW w:w="1245" w:type="pct"/>
            <w:vAlign w:val="center"/>
          </w:tcPr>
          <w:p w:rsidR="005003C7" w:rsidRDefault="00204F37">
            <w:pPr>
              <w:pStyle w:val="TAH"/>
              <w:rPr>
                <w:rFonts w:eastAsia="宋体"/>
              </w:rPr>
            </w:pPr>
            <w:r>
              <w:rPr>
                <w:rFonts w:eastAsia="宋体"/>
              </w:rPr>
              <w:t>SCS of uplink signals (kHz)</w:t>
            </w:r>
          </w:p>
        </w:tc>
        <w:tc>
          <w:tcPr>
            <w:tcW w:w="1478" w:type="pct"/>
            <w:vAlign w:val="center"/>
          </w:tcPr>
          <w:p w:rsidR="005003C7" w:rsidRDefault="00204F37">
            <w:pPr>
              <w:pStyle w:val="TAH"/>
              <w:rPr>
                <w:rFonts w:eastAsia="宋体"/>
              </w:rPr>
            </w:pPr>
            <w:proofErr w:type="spellStart"/>
            <w:r>
              <w:rPr>
                <w:rFonts w:eastAsia="宋体"/>
              </w:rPr>
              <w:t>T</w:t>
            </w:r>
            <w:r>
              <w:rPr>
                <w:rFonts w:eastAsia="宋体"/>
                <w:vertAlign w:val="subscript"/>
              </w:rPr>
              <w:t>e</w:t>
            </w:r>
            <w:r>
              <w:rPr>
                <w:vertAlign w:val="subscript"/>
              </w:rPr>
              <w:t>_NTN</w:t>
            </w:r>
            <w:proofErr w:type="spellEnd"/>
          </w:p>
        </w:tc>
      </w:tr>
      <w:tr w:rsidR="005003C7">
        <w:trPr>
          <w:cantSplit/>
          <w:jc w:val="center"/>
        </w:trPr>
        <w:tc>
          <w:tcPr>
            <w:tcW w:w="1033" w:type="pct"/>
            <w:tcBorders>
              <w:bottom w:val="nil"/>
            </w:tcBorders>
            <w:vAlign w:val="center"/>
          </w:tcPr>
          <w:p w:rsidR="005003C7" w:rsidRDefault="00204F37">
            <w:pPr>
              <w:pStyle w:val="TAC"/>
              <w:rPr>
                <w:rFonts w:eastAsia="宋体"/>
              </w:rPr>
            </w:pPr>
            <w:r>
              <w:rPr>
                <w:rFonts w:eastAsia="宋体"/>
              </w:rPr>
              <w:t>1</w:t>
            </w:r>
          </w:p>
        </w:tc>
        <w:tc>
          <w:tcPr>
            <w:tcW w:w="1244" w:type="pct"/>
            <w:tcBorders>
              <w:bottom w:val="nil"/>
            </w:tcBorders>
            <w:vAlign w:val="center"/>
          </w:tcPr>
          <w:p w:rsidR="005003C7" w:rsidRDefault="00204F37">
            <w:pPr>
              <w:pStyle w:val="TAC"/>
              <w:rPr>
                <w:rFonts w:eastAsia="宋体"/>
              </w:rPr>
            </w:pPr>
            <w:r>
              <w:rPr>
                <w:rFonts w:eastAsia="宋体"/>
              </w:rPr>
              <w:t>15</w:t>
            </w:r>
          </w:p>
        </w:tc>
        <w:tc>
          <w:tcPr>
            <w:tcW w:w="1245" w:type="pct"/>
          </w:tcPr>
          <w:p w:rsidR="005003C7" w:rsidRDefault="00204F37">
            <w:pPr>
              <w:pStyle w:val="TAC"/>
              <w:rPr>
                <w:rFonts w:eastAsia="宋体"/>
              </w:rPr>
            </w:pPr>
            <w:r>
              <w:rPr>
                <w:rFonts w:eastAsia="宋体"/>
              </w:rPr>
              <w:t>15</w:t>
            </w:r>
          </w:p>
        </w:tc>
        <w:tc>
          <w:tcPr>
            <w:tcW w:w="1478" w:type="pct"/>
          </w:tcPr>
          <w:p w:rsidR="005003C7" w:rsidRDefault="00204F37">
            <w:pPr>
              <w:pStyle w:val="TAC"/>
              <w:rPr>
                <w:rFonts w:eastAsia="宋体"/>
              </w:rPr>
            </w:pPr>
            <w:r>
              <w:rPr>
                <w:rFonts w:eastAsia="宋体"/>
              </w:rPr>
              <w:t>29*64*T</w:t>
            </w:r>
            <w:r>
              <w:rPr>
                <w:rFonts w:eastAsia="宋体"/>
                <w:vertAlign w:val="subscript"/>
              </w:rPr>
              <w:t>c</w:t>
            </w:r>
          </w:p>
        </w:tc>
      </w:tr>
      <w:tr w:rsidR="005003C7">
        <w:trPr>
          <w:cantSplit/>
          <w:jc w:val="center"/>
        </w:trPr>
        <w:tc>
          <w:tcPr>
            <w:tcW w:w="1033" w:type="pct"/>
            <w:tcBorders>
              <w:top w:val="nil"/>
              <w:bottom w:val="nil"/>
            </w:tcBorders>
            <w:vAlign w:val="center"/>
          </w:tcPr>
          <w:p w:rsidR="005003C7" w:rsidRDefault="005003C7">
            <w:pPr>
              <w:pStyle w:val="TAC"/>
              <w:rPr>
                <w:rFonts w:eastAsia="宋体"/>
              </w:rPr>
            </w:pPr>
          </w:p>
        </w:tc>
        <w:tc>
          <w:tcPr>
            <w:tcW w:w="1244" w:type="pct"/>
            <w:tcBorders>
              <w:top w:val="nil"/>
              <w:bottom w:val="nil"/>
            </w:tcBorders>
            <w:vAlign w:val="center"/>
          </w:tcPr>
          <w:p w:rsidR="005003C7" w:rsidRDefault="005003C7">
            <w:pPr>
              <w:pStyle w:val="TAC"/>
              <w:rPr>
                <w:rFonts w:eastAsia="宋体"/>
              </w:rPr>
            </w:pPr>
          </w:p>
        </w:tc>
        <w:tc>
          <w:tcPr>
            <w:tcW w:w="1245" w:type="pct"/>
          </w:tcPr>
          <w:p w:rsidR="005003C7" w:rsidRDefault="00204F37">
            <w:pPr>
              <w:pStyle w:val="TAC"/>
              <w:rPr>
                <w:rFonts w:eastAsia="宋体"/>
              </w:rPr>
            </w:pPr>
            <w:r>
              <w:rPr>
                <w:rFonts w:eastAsia="宋体"/>
              </w:rPr>
              <w:t>30</w:t>
            </w:r>
          </w:p>
        </w:tc>
        <w:tc>
          <w:tcPr>
            <w:tcW w:w="1478" w:type="pct"/>
          </w:tcPr>
          <w:p w:rsidR="005003C7" w:rsidRDefault="00204F37">
            <w:pPr>
              <w:pStyle w:val="TAC"/>
              <w:rPr>
                <w:rFonts w:eastAsia="宋体"/>
              </w:rPr>
            </w:pPr>
            <w:r>
              <w:rPr>
                <w:rFonts w:eastAsia="宋体"/>
              </w:rPr>
              <w:t>24*64*T</w:t>
            </w:r>
            <w:r>
              <w:rPr>
                <w:rFonts w:eastAsia="宋体"/>
                <w:vertAlign w:val="subscript"/>
              </w:rPr>
              <w:t>c</w:t>
            </w:r>
          </w:p>
        </w:tc>
      </w:tr>
      <w:tr w:rsidR="005003C7">
        <w:trPr>
          <w:cantSplit/>
          <w:jc w:val="center"/>
        </w:trPr>
        <w:tc>
          <w:tcPr>
            <w:tcW w:w="1033" w:type="pct"/>
            <w:tcBorders>
              <w:top w:val="nil"/>
              <w:bottom w:val="nil"/>
            </w:tcBorders>
            <w:vAlign w:val="center"/>
          </w:tcPr>
          <w:p w:rsidR="005003C7" w:rsidRDefault="005003C7">
            <w:pPr>
              <w:pStyle w:val="TAC"/>
              <w:rPr>
                <w:rFonts w:eastAsia="宋体"/>
              </w:rPr>
            </w:pPr>
          </w:p>
        </w:tc>
        <w:tc>
          <w:tcPr>
            <w:tcW w:w="1244" w:type="pct"/>
            <w:tcBorders>
              <w:top w:val="nil"/>
            </w:tcBorders>
            <w:vAlign w:val="center"/>
          </w:tcPr>
          <w:p w:rsidR="005003C7" w:rsidRDefault="005003C7">
            <w:pPr>
              <w:pStyle w:val="TAC"/>
              <w:rPr>
                <w:rFonts w:eastAsia="宋体"/>
              </w:rPr>
            </w:pPr>
          </w:p>
        </w:tc>
        <w:tc>
          <w:tcPr>
            <w:tcW w:w="1245" w:type="pct"/>
          </w:tcPr>
          <w:p w:rsidR="005003C7" w:rsidRDefault="00204F37">
            <w:pPr>
              <w:pStyle w:val="TAC"/>
              <w:rPr>
                <w:rFonts w:eastAsia="宋体"/>
              </w:rPr>
            </w:pPr>
            <w:r>
              <w:rPr>
                <w:rFonts w:eastAsia="宋体"/>
              </w:rPr>
              <w:t>60</w:t>
            </w:r>
          </w:p>
        </w:tc>
        <w:tc>
          <w:tcPr>
            <w:tcW w:w="1478" w:type="pct"/>
          </w:tcPr>
          <w:p w:rsidR="005003C7" w:rsidRDefault="00204F37">
            <w:pPr>
              <w:pStyle w:val="TAC"/>
              <w:rPr>
                <w:rFonts w:eastAsia="宋体"/>
              </w:rPr>
            </w:pPr>
            <w:r>
              <w:rPr>
                <w:rFonts w:eastAsia="宋体"/>
              </w:rPr>
              <w:t>N/A</w:t>
            </w:r>
          </w:p>
        </w:tc>
      </w:tr>
      <w:tr w:rsidR="005003C7">
        <w:trPr>
          <w:cantSplit/>
          <w:trHeight w:val="186"/>
          <w:jc w:val="center"/>
        </w:trPr>
        <w:tc>
          <w:tcPr>
            <w:tcW w:w="1033" w:type="pct"/>
            <w:tcBorders>
              <w:top w:val="nil"/>
              <w:bottom w:val="nil"/>
            </w:tcBorders>
            <w:vAlign w:val="center"/>
          </w:tcPr>
          <w:p w:rsidR="005003C7" w:rsidRDefault="005003C7">
            <w:pPr>
              <w:pStyle w:val="TAC"/>
              <w:rPr>
                <w:rFonts w:eastAsia="宋体"/>
              </w:rPr>
            </w:pPr>
          </w:p>
        </w:tc>
        <w:tc>
          <w:tcPr>
            <w:tcW w:w="1244" w:type="pct"/>
            <w:tcBorders>
              <w:bottom w:val="nil"/>
            </w:tcBorders>
            <w:vAlign w:val="center"/>
          </w:tcPr>
          <w:p w:rsidR="005003C7" w:rsidRDefault="00204F37">
            <w:pPr>
              <w:pStyle w:val="TAC"/>
              <w:rPr>
                <w:rFonts w:eastAsia="宋体"/>
              </w:rPr>
            </w:pPr>
            <w:r>
              <w:rPr>
                <w:rFonts w:eastAsia="宋体"/>
              </w:rPr>
              <w:t>30</w:t>
            </w:r>
          </w:p>
        </w:tc>
        <w:tc>
          <w:tcPr>
            <w:tcW w:w="1245" w:type="pct"/>
          </w:tcPr>
          <w:p w:rsidR="005003C7" w:rsidRDefault="00204F37">
            <w:pPr>
              <w:pStyle w:val="TAC"/>
              <w:rPr>
                <w:rFonts w:eastAsia="宋体"/>
              </w:rPr>
            </w:pPr>
            <w:r>
              <w:rPr>
                <w:rFonts w:eastAsia="宋体"/>
              </w:rPr>
              <w:t>15</w:t>
            </w:r>
          </w:p>
        </w:tc>
        <w:tc>
          <w:tcPr>
            <w:tcW w:w="1478" w:type="pct"/>
          </w:tcPr>
          <w:p w:rsidR="005003C7" w:rsidRDefault="00204F37">
            <w:pPr>
              <w:pStyle w:val="TAC"/>
              <w:rPr>
                <w:rFonts w:eastAsia="宋体"/>
              </w:rPr>
            </w:pPr>
            <w:r>
              <w:rPr>
                <w:rFonts w:eastAsia="宋体"/>
              </w:rPr>
              <w:t>24*64*T</w:t>
            </w:r>
            <w:r>
              <w:rPr>
                <w:rFonts w:eastAsia="宋体"/>
                <w:vertAlign w:val="subscript"/>
              </w:rPr>
              <w:t>c</w:t>
            </w:r>
          </w:p>
        </w:tc>
      </w:tr>
      <w:tr w:rsidR="005003C7">
        <w:trPr>
          <w:cantSplit/>
          <w:jc w:val="center"/>
        </w:trPr>
        <w:tc>
          <w:tcPr>
            <w:tcW w:w="1033" w:type="pct"/>
            <w:tcBorders>
              <w:top w:val="nil"/>
              <w:bottom w:val="nil"/>
            </w:tcBorders>
            <w:vAlign w:val="center"/>
          </w:tcPr>
          <w:p w:rsidR="005003C7" w:rsidRDefault="005003C7">
            <w:pPr>
              <w:pStyle w:val="TAC"/>
              <w:rPr>
                <w:rFonts w:eastAsia="宋体"/>
              </w:rPr>
            </w:pPr>
          </w:p>
        </w:tc>
        <w:tc>
          <w:tcPr>
            <w:tcW w:w="1244" w:type="pct"/>
            <w:tcBorders>
              <w:top w:val="nil"/>
              <w:bottom w:val="nil"/>
            </w:tcBorders>
            <w:vAlign w:val="center"/>
          </w:tcPr>
          <w:p w:rsidR="005003C7" w:rsidRDefault="005003C7">
            <w:pPr>
              <w:pStyle w:val="TAC"/>
              <w:rPr>
                <w:rFonts w:eastAsia="宋体"/>
              </w:rPr>
            </w:pPr>
          </w:p>
        </w:tc>
        <w:tc>
          <w:tcPr>
            <w:tcW w:w="1245" w:type="pct"/>
          </w:tcPr>
          <w:p w:rsidR="005003C7" w:rsidRDefault="00204F37">
            <w:pPr>
              <w:pStyle w:val="TAC"/>
              <w:rPr>
                <w:rFonts w:eastAsia="宋体"/>
              </w:rPr>
            </w:pPr>
            <w:r>
              <w:rPr>
                <w:rFonts w:eastAsia="宋体"/>
              </w:rPr>
              <w:t>30</w:t>
            </w:r>
          </w:p>
        </w:tc>
        <w:tc>
          <w:tcPr>
            <w:tcW w:w="1478" w:type="pct"/>
          </w:tcPr>
          <w:p w:rsidR="005003C7" w:rsidRDefault="00204F37">
            <w:pPr>
              <w:pStyle w:val="TAC"/>
              <w:rPr>
                <w:rFonts w:eastAsia="宋体"/>
              </w:rPr>
            </w:pPr>
            <w:r>
              <w:rPr>
                <w:rFonts w:eastAsia="宋体"/>
              </w:rPr>
              <w:t>22*64*T</w:t>
            </w:r>
            <w:r>
              <w:rPr>
                <w:rFonts w:eastAsia="宋体"/>
                <w:vertAlign w:val="subscript"/>
              </w:rPr>
              <w:t>c</w:t>
            </w:r>
          </w:p>
        </w:tc>
      </w:tr>
      <w:tr w:rsidR="005003C7">
        <w:trPr>
          <w:cantSplit/>
          <w:jc w:val="center"/>
        </w:trPr>
        <w:tc>
          <w:tcPr>
            <w:tcW w:w="1033" w:type="pct"/>
            <w:tcBorders>
              <w:top w:val="nil"/>
              <w:bottom w:val="single" w:sz="4" w:space="0" w:color="auto"/>
            </w:tcBorders>
            <w:vAlign w:val="center"/>
          </w:tcPr>
          <w:p w:rsidR="005003C7" w:rsidRDefault="005003C7">
            <w:pPr>
              <w:pStyle w:val="TAC"/>
              <w:rPr>
                <w:rFonts w:eastAsia="宋体"/>
              </w:rPr>
            </w:pPr>
          </w:p>
        </w:tc>
        <w:tc>
          <w:tcPr>
            <w:tcW w:w="1244" w:type="pct"/>
            <w:tcBorders>
              <w:top w:val="nil"/>
              <w:bottom w:val="single" w:sz="4" w:space="0" w:color="auto"/>
            </w:tcBorders>
            <w:vAlign w:val="center"/>
          </w:tcPr>
          <w:p w:rsidR="005003C7" w:rsidRDefault="005003C7">
            <w:pPr>
              <w:pStyle w:val="TAC"/>
              <w:rPr>
                <w:rFonts w:eastAsia="宋体"/>
              </w:rPr>
            </w:pPr>
          </w:p>
        </w:tc>
        <w:tc>
          <w:tcPr>
            <w:tcW w:w="1245" w:type="pct"/>
          </w:tcPr>
          <w:p w:rsidR="005003C7" w:rsidRDefault="00204F37">
            <w:pPr>
              <w:pStyle w:val="TAC"/>
              <w:rPr>
                <w:rFonts w:eastAsia="宋体"/>
              </w:rPr>
            </w:pPr>
            <w:r>
              <w:rPr>
                <w:rFonts w:eastAsia="宋体"/>
              </w:rPr>
              <w:t>60</w:t>
            </w:r>
          </w:p>
        </w:tc>
        <w:tc>
          <w:tcPr>
            <w:tcW w:w="1478" w:type="pct"/>
          </w:tcPr>
          <w:p w:rsidR="005003C7" w:rsidRDefault="00204F37">
            <w:pPr>
              <w:pStyle w:val="TAC"/>
              <w:rPr>
                <w:rFonts w:eastAsia="宋体"/>
              </w:rPr>
            </w:pPr>
            <w:r>
              <w:rPr>
                <w:rFonts w:eastAsia="宋体"/>
              </w:rPr>
              <w:t>N/A</w:t>
            </w:r>
          </w:p>
        </w:tc>
      </w:tr>
      <w:tr w:rsidR="005003C7">
        <w:trPr>
          <w:cantSplit/>
          <w:jc w:val="center"/>
        </w:trPr>
        <w:tc>
          <w:tcPr>
            <w:tcW w:w="5000" w:type="pct"/>
            <w:gridSpan w:val="4"/>
          </w:tcPr>
          <w:p w:rsidR="005003C7" w:rsidRDefault="00204F37">
            <w:pPr>
              <w:pStyle w:val="TAN"/>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rsidR="005003C7" w:rsidRDefault="00586A03">
      <w:pPr>
        <w:overflowPunct w:val="0"/>
        <w:autoSpaceDE w:val="0"/>
        <w:autoSpaceDN w:val="0"/>
        <w:adjustRightInd w:val="0"/>
        <w:spacing w:before="120" w:after="120" w:line="360" w:lineRule="auto"/>
        <w:jc w:val="both"/>
        <w:textAlignment w:val="baseline"/>
        <w:rPr>
          <w:rFonts w:eastAsia="宋体"/>
          <w:b/>
          <w:bCs/>
          <w:sz w:val="24"/>
          <w:szCs w:val="21"/>
          <w:lang w:val="en-US" w:eastAsia="zh-CN"/>
        </w:rPr>
      </w:pPr>
      <w:r>
        <w:rPr>
          <w:rFonts w:eastAsia="宋体" w:hint="eastAsia"/>
          <w:b/>
          <w:bCs/>
          <w:sz w:val="24"/>
          <w:szCs w:val="21"/>
          <w:lang w:val="en-US" w:eastAsia="zh-CN"/>
        </w:rPr>
        <w:t xml:space="preserve">Observation </w:t>
      </w:r>
      <w:r>
        <w:rPr>
          <w:rFonts w:eastAsia="宋体"/>
          <w:b/>
          <w:bCs/>
          <w:sz w:val="24"/>
          <w:szCs w:val="21"/>
          <w:lang w:val="en-US" w:eastAsia="zh-CN"/>
        </w:rPr>
        <w:t>3</w:t>
      </w:r>
      <w:r w:rsidR="00204F37">
        <w:rPr>
          <w:rFonts w:eastAsia="宋体" w:hint="eastAsia"/>
          <w:b/>
          <w:bCs/>
          <w:sz w:val="24"/>
          <w:szCs w:val="21"/>
          <w:lang w:val="en-US" w:eastAsia="zh-CN"/>
        </w:rPr>
        <w:t>: For legacy requirements we had different requirements for different SCS, e.g. 15kHz and 30kHz.</w:t>
      </w:r>
    </w:p>
    <w:p w:rsidR="005003C7" w:rsidRDefault="00F7745B">
      <w:pPr>
        <w:pStyle w:val="31"/>
        <w:spacing w:line="360" w:lineRule="auto"/>
        <w:jc w:val="both"/>
        <w:rPr>
          <w:rFonts w:eastAsia="宋体"/>
          <w:kern w:val="0"/>
          <w:sz w:val="22"/>
        </w:rPr>
      </w:pPr>
      <w:r>
        <w:rPr>
          <w:rFonts w:eastAsia="宋体" w:hint="eastAsia"/>
          <w:kern w:val="0"/>
          <w:sz w:val="22"/>
        </w:rPr>
        <w:lastRenderedPageBreak/>
        <w:t>For serving-satellite positioning accuracy error, it relies on two parts:</w:t>
      </w:r>
      <w:r>
        <w:rPr>
          <w:rFonts w:eastAsia="宋体"/>
          <w:kern w:val="0"/>
          <w:sz w:val="22"/>
        </w:rPr>
        <w:t xml:space="preserve"> </w:t>
      </w:r>
      <w:r>
        <w:rPr>
          <w:rFonts w:eastAsia="宋体" w:hint="eastAsia"/>
          <w:kern w:val="0"/>
          <w:sz w:val="22"/>
        </w:rPr>
        <w:t>1. calculation model used by UE side which is up to implementation. 2. the ephemeris information inaccuracy which is indicated by NW and doesn</w:t>
      </w:r>
      <w:r>
        <w:rPr>
          <w:rFonts w:eastAsia="宋体"/>
          <w:kern w:val="0"/>
          <w:sz w:val="22"/>
        </w:rPr>
        <w:t>’</w:t>
      </w:r>
      <w:r>
        <w:rPr>
          <w:rFonts w:eastAsia="宋体" w:hint="eastAsia"/>
          <w:kern w:val="0"/>
          <w:sz w:val="22"/>
        </w:rPr>
        <w:t xml:space="preserve">t rely on the UE capability. </w:t>
      </w:r>
      <w:r w:rsidR="007F48C9">
        <w:rPr>
          <w:rFonts w:eastAsia="宋体"/>
          <w:kern w:val="0"/>
          <w:sz w:val="22"/>
        </w:rPr>
        <w:t>We can have the conclusion that the proper positioning error (GNSS error and SAT error) can be 20m based on the above table and if we follow the rules which is the total budget shall not exceed the 0.5CP length the Te requirements shall not be defined since the ideal GNSS error is 15m defined in TS 38.171 and if so, the remaining positioning error for serving-satellite positioning accuracy is only 5m which is impossible and we deem that seldom companies can reach such advanced capability especially for the network vendor</w:t>
      </w:r>
      <w:r w:rsidR="00204F37">
        <w:rPr>
          <w:rFonts w:eastAsia="宋体" w:hint="eastAsia"/>
          <w:kern w:val="0"/>
          <w:sz w:val="22"/>
        </w:rPr>
        <w:t>.</w:t>
      </w:r>
    </w:p>
    <w:p w:rsidR="005003C7" w:rsidRDefault="00586A03">
      <w:pPr>
        <w:pStyle w:val="31"/>
        <w:spacing w:line="360" w:lineRule="auto"/>
        <w:rPr>
          <w:rFonts w:eastAsia="宋体"/>
          <w:b/>
          <w:bCs/>
          <w:kern w:val="0"/>
          <w:sz w:val="22"/>
        </w:rPr>
      </w:pPr>
      <w:r>
        <w:rPr>
          <w:rFonts w:eastAsia="宋体" w:hint="eastAsia"/>
          <w:b/>
          <w:bCs/>
          <w:kern w:val="0"/>
          <w:sz w:val="22"/>
        </w:rPr>
        <w:t xml:space="preserve">Proposal </w:t>
      </w:r>
      <w:r>
        <w:rPr>
          <w:rFonts w:eastAsia="宋体"/>
          <w:b/>
          <w:bCs/>
          <w:kern w:val="0"/>
          <w:sz w:val="22"/>
        </w:rPr>
        <w:t>1</w:t>
      </w:r>
      <w:r w:rsidR="00204F37">
        <w:rPr>
          <w:rFonts w:eastAsia="宋体" w:hint="eastAsia"/>
          <w:b/>
          <w:bCs/>
          <w:kern w:val="0"/>
          <w:sz w:val="22"/>
        </w:rPr>
        <w:t xml:space="preserve">: </w:t>
      </w:r>
    </w:p>
    <w:tbl>
      <w:tblPr>
        <w:tblW w:w="31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523"/>
        <w:gridCol w:w="1523"/>
        <w:gridCol w:w="1809"/>
      </w:tblGrid>
      <w:tr w:rsidR="005003C7" w:rsidTr="0077133F">
        <w:trPr>
          <w:cantSplit/>
          <w:jc w:val="center"/>
        </w:trPr>
        <w:tc>
          <w:tcPr>
            <w:tcW w:w="1035" w:type="pct"/>
            <w:tcBorders>
              <w:top w:val="single" w:sz="4" w:space="0" w:color="auto"/>
              <w:left w:val="single" w:sz="4" w:space="0" w:color="auto"/>
              <w:bottom w:val="single" w:sz="4" w:space="0" w:color="auto"/>
              <w:right w:val="single" w:sz="4" w:space="0" w:color="auto"/>
            </w:tcBorders>
            <w:vAlign w:val="center"/>
          </w:tcPr>
          <w:p w:rsidR="005003C7" w:rsidRDefault="00204F37">
            <w:pPr>
              <w:pStyle w:val="TAH"/>
              <w:rPr>
                <w:rFonts w:cs="Arial"/>
              </w:rPr>
            </w:pPr>
            <w:r>
              <w:rPr>
                <w:rFonts w:cs="Arial"/>
              </w:rPr>
              <w:t>Frequency Range</w:t>
            </w:r>
          </w:p>
        </w:tc>
        <w:tc>
          <w:tcPr>
            <w:tcW w:w="1244" w:type="pct"/>
            <w:tcBorders>
              <w:top w:val="single" w:sz="4" w:space="0" w:color="auto"/>
              <w:left w:val="single" w:sz="4" w:space="0" w:color="auto"/>
              <w:bottom w:val="single" w:sz="4" w:space="0" w:color="auto"/>
              <w:right w:val="single" w:sz="4" w:space="0" w:color="auto"/>
            </w:tcBorders>
            <w:vAlign w:val="center"/>
          </w:tcPr>
          <w:p w:rsidR="005003C7" w:rsidRDefault="00204F37">
            <w:pPr>
              <w:pStyle w:val="TAH"/>
              <w:rPr>
                <w:rFonts w:cs="Arial"/>
              </w:rPr>
            </w:pPr>
            <w:r>
              <w:rPr>
                <w:rFonts w:cs="Arial"/>
              </w:rPr>
              <w:t>SCS of SSB signals (kHz)</w:t>
            </w:r>
          </w:p>
        </w:tc>
        <w:tc>
          <w:tcPr>
            <w:tcW w:w="1244" w:type="pct"/>
            <w:tcBorders>
              <w:top w:val="single" w:sz="4" w:space="0" w:color="auto"/>
              <w:left w:val="single" w:sz="4" w:space="0" w:color="auto"/>
              <w:bottom w:val="single" w:sz="4" w:space="0" w:color="auto"/>
              <w:right w:val="single" w:sz="4" w:space="0" w:color="auto"/>
            </w:tcBorders>
            <w:vAlign w:val="center"/>
          </w:tcPr>
          <w:p w:rsidR="005003C7" w:rsidRDefault="00204F37">
            <w:pPr>
              <w:pStyle w:val="TAH"/>
              <w:rPr>
                <w:rFonts w:cs="Arial"/>
              </w:rPr>
            </w:pPr>
            <w:r>
              <w:rPr>
                <w:rFonts w:cs="Arial"/>
              </w:rPr>
              <w:t>SCS of uplink signals (kHz)</w:t>
            </w:r>
          </w:p>
        </w:tc>
        <w:tc>
          <w:tcPr>
            <w:tcW w:w="1477" w:type="pct"/>
            <w:tcBorders>
              <w:top w:val="single" w:sz="4" w:space="0" w:color="auto"/>
              <w:left w:val="single" w:sz="4" w:space="0" w:color="auto"/>
              <w:bottom w:val="single" w:sz="4" w:space="0" w:color="auto"/>
              <w:right w:val="single" w:sz="4" w:space="0" w:color="auto"/>
            </w:tcBorders>
            <w:vAlign w:val="center"/>
          </w:tcPr>
          <w:p w:rsidR="005003C7" w:rsidRDefault="00204F37">
            <w:pPr>
              <w:pStyle w:val="TAH"/>
              <w:rPr>
                <w:rFonts w:cs="Arial"/>
              </w:rPr>
            </w:pPr>
            <w:proofErr w:type="spellStart"/>
            <w:r>
              <w:rPr>
                <w:rFonts w:cs="Arial"/>
              </w:rPr>
              <w:t>T</w:t>
            </w:r>
            <w:r>
              <w:rPr>
                <w:rFonts w:cs="Arial"/>
                <w:vertAlign w:val="subscript"/>
              </w:rPr>
              <w:t>e_NTN</w:t>
            </w:r>
            <w:proofErr w:type="spellEnd"/>
          </w:p>
        </w:tc>
      </w:tr>
      <w:tr w:rsidR="0077133F" w:rsidTr="0077133F">
        <w:trPr>
          <w:cantSplit/>
          <w:trHeight w:val="231"/>
          <w:jc w:val="center"/>
        </w:trPr>
        <w:tc>
          <w:tcPr>
            <w:tcW w:w="1035" w:type="pct"/>
            <w:vMerge w:val="restart"/>
            <w:tcBorders>
              <w:left w:val="single" w:sz="4" w:space="0" w:color="auto"/>
              <w:right w:val="single" w:sz="4" w:space="0" w:color="auto"/>
            </w:tcBorders>
            <w:vAlign w:val="center"/>
          </w:tcPr>
          <w:p w:rsidR="0077133F" w:rsidRPr="0077133F" w:rsidRDefault="0077133F">
            <w:pPr>
              <w:pStyle w:val="TAH"/>
              <w:rPr>
                <w:rFonts w:eastAsiaTheme="minorEastAsia" w:cs="Arial"/>
                <w:b w:val="0"/>
                <w:bCs/>
                <w:lang w:eastAsia="zh-CN"/>
              </w:rPr>
            </w:pPr>
            <w:r>
              <w:rPr>
                <w:rFonts w:eastAsiaTheme="minorEastAsia" w:cs="Arial"/>
                <w:b w:val="0"/>
                <w:bCs/>
                <w:lang w:eastAsia="zh-CN"/>
              </w:rPr>
              <w:t>2</w:t>
            </w:r>
          </w:p>
        </w:tc>
        <w:tc>
          <w:tcPr>
            <w:tcW w:w="1244" w:type="pct"/>
            <w:tcBorders>
              <w:left w:val="single" w:sz="4" w:space="0" w:color="auto"/>
              <w:bottom w:val="single" w:sz="4" w:space="0" w:color="auto"/>
              <w:right w:val="single" w:sz="4" w:space="0" w:color="auto"/>
            </w:tcBorders>
            <w:vAlign w:val="center"/>
          </w:tcPr>
          <w:p w:rsidR="0077133F" w:rsidRPr="0077133F" w:rsidRDefault="0077133F">
            <w:pPr>
              <w:pStyle w:val="TAH"/>
              <w:rPr>
                <w:rFonts w:eastAsiaTheme="minorEastAsia" w:cs="Arial"/>
                <w:b w:val="0"/>
                <w:bCs/>
                <w:lang w:eastAsia="zh-CN"/>
              </w:rPr>
            </w:pPr>
            <w:r>
              <w:rPr>
                <w:rFonts w:eastAsiaTheme="minorEastAsia" w:cs="Arial" w:hint="eastAsia"/>
                <w:b w:val="0"/>
                <w:bCs/>
                <w:lang w:eastAsia="zh-CN"/>
              </w:rPr>
              <w:t>1</w:t>
            </w:r>
            <w:r>
              <w:rPr>
                <w:rFonts w:eastAsiaTheme="minorEastAsia" w:cs="Arial"/>
                <w:b w:val="0"/>
                <w:bCs/>
                <w:lang w:eastAsia="zh-CN"/>
              </w:rPr>
              <w:t>20</w:t>
            </w:r>
          </w:p>
        </w:tc>
        <w:tc>
          <w:tcPr>
            <w:tcW w:w="1244" w:type="pct"/>
            <w:tcBorders>
              <w:top w:val="single" w:sz="4" w:space="0" w:color="auto"/>
              <w:left w:val="single" w:sz="4" w:space="0" w:color="auto"/>
              <w:right w:val="single" w:sz="4" w:space="0" w:color="auto"/>
            </w:tcBorders>
          </w:tcPr>
          <w:p w:rsidR="0077133F" w:rsidRDefault="0077133F">
            <w:pPr>
              <w:pStyle w:val="TAH"/>
              <w:rPr>
                <w:rFonts w:eastAsia="宋体" w:cs="Arial"/>
                <w:b w:val="0"/>
                <w:bCs/>
                <w:lang w:val="en-US" w:eastAsia="zh-CN"/>
              </w:rPr>
            </w:pPr>
            <w:r>
              <w:rPr>
                <w:rFonts w:cs="Arial"/>
                <w:b w:val="0"/>
                <w:bCs/>
              </w:rPr>
              <w:t>120</w:t>
            </w:r>
            <w:r>
              <w:rPr>
                <w:rFonts w:eastAsia="宋体" w:cs="Arial" w:hint="eastAsia"/>
                <w:b w:val="0"/>
                <w:bCs/>
                <w:lang w:val="en-US" w:eastAsia="zh-CN"/>
              </w:rPr>
              <w:t>(NCP)</w:t>
            </w:r>
          </w:p>
        </w:tc>
        <w:tc>
          <w:tcPr>
            <w:tcW w:w="1477" w:type="pct"/>
            <w:tcBorders>
              <w:top w:val="single" w:sz="4" w:space="0" w:color="auto"/>
              <w:left w:val="single" w:sz="4" w:space="0" w:color="auto"/>
              <w:right w:val="single" w:sz="4" w:space="0" w:color="auto"/>
            </w:tcBorders>
          </w:tcPr>
          <w:p w:rsidR="0077133F" w:rsidRDefault="0077133F">
            <w:pPr>
              <w:pStyle w:val="TAH"/>
              <w:rPr>
                <w:rFonts w:eastAsia="宋体" w:cs="Arial"/>
                <w:b w:val="0"/>
                <w:bCs/>
                <w:lang w:val="en-US" w:eastAsia="zh-CN"/>
              </w:rPr>
            </w:pPr>
            <w:r>
              <w:rPr>
                <w:rFonts w:eastAsia="宋体" w:cs="Arial"/>
                <w:b w:val="0"/>
                <w:bCs/>
                <w:lang w:val="en-US" w:eastAsia="zh-CN"/>
              </w:rPr>
              <w:t>N</w:t>
            </w:r>
            <w:r w:rsidR="0077715A">
              <w:rPr>
                <w:rFonts w:eastAsia="宋体" w:cs="Arial"/>
                <w:b w:val="0"/>
                <w:bCs/>
                <w:lang w:val="en-US" w:eastAsia="zh-CN"/>
              </w:rPr>
              <w:t>/</w:t>
            </w:r>
            <w:r>
              <w:rPr>
                <w:rFonts w:eastAsia="宋体" w:cs="Arial"/>
                <w:b w:val="0"/>
                <w:bCs/>
                <w:lang w:val="en-US" w:eastAsia="zh-CN"/>
              </w:rPr>
              <w:t>A</w:t>
            </w:r>
          </w:p>
        </w:tc>
      </w:tr>
      <w:tr w:rsidR="005003C7" w:rsidTr="0077133F">
        <w:trPr>
          <w:cantSplit/>
          <w:trHeight w:val="103"/>
          <w:jc w:val="center"/>
        </w:trPr>
        <w:tc>
          <w:tcPr>
            <w:tcW w:w="1035" w:type="pct"/>
            <w:vMerge/>
            <w:tcBorders>
              <w:left w:val="single" w:sz="4" w:space="0" w:color="auto"/>
              <w:bottom w:val="single" w:sz="4" w:space="0" w:color="auto"/>
              <w:right w:val="single" w:sz="4" w:space="0" w:color="auto"/>
            </w:tcBorders>
          </w:tcPr>
          <w:p w:rsidR="005003C7" w:rsidRDefault="005003C7">
            <w:pPr>
              <w:pStyle w:val="TAH"/>
              <w:rPr>
                <w:rFonts w:cs="Arial"/>
                <w:b w:val="0"/>
                <w:bCs/>
              </w:rPr>
            </w:pPr>
          </w:p>
        </w:tc>
        <w:tc>
          <w:tcPr>
            <w:tcW w:w="1244" w:type="pct"/>
            <w:tcBorders>
              <w:left w:val="single" w:sz="4" w:space="0" w:color="auto"/>
              <w:bottom w:val="single" w:sz="4" w:space="0" w:color="auto"/>
              <w:right w:val="single" w:sz="4" w:space="0" w:color="auto"/>
            </w:tcBorders>
          </w:tcPr>
          <w:p w:rsidR="005003C7" w:rsidRPr="0077133F" w:rsidRDefault="0077133F">
            <w:pPr>
              <w:pStyle w:val="TAH"/>
              <w:rPr>
                <w:rFonts w:eastAsiaTheme="minorEastAsia" w:cs="Arial"/>
                <w:b w:val="0"/>
                <w:bCs/>
                <w:lang w:eastAsia="zh-CN"/>
              </w:rPr>
            </w:pPr>
            <w:r>
              <w:rPr>
                <w:rFonts w:eastAsiaTheme="minorEastAsia" w:cs="Arial" w:hint="eastAsia"/>
                <w:b w:val="0"/>
                <w:bCs/>
                <w:lang w:eastAsia="zh-CN"/>
              </w:rPr>
              <w:t>2</w:t>
            </w:r>
            <w:r>
              <w:rPr>
                <w:rFonts w:eastAsiaTheme="minorEastAsia" w:cs="Arial"/>
                <w:b w:val="0"/>
                <w:bCs/>
                <w:lang w:eastAsia="zh-CN"/>
              </w:rPr>
              <w:t>40</w:t>
            </w:r>
          </w:p>
        </w:tc>
        <w:tc>
          <w:tcPr>
            <w:tcW w:w="1244" w:type="pct"/>
            <w:tcBorders>
              <w:top w:val="single" w:sz="4" w:space="0" w:color="auto"/>
              <w:left w:val="single" w:sz="4" w:space="0" w:color="auto"/>
              <w:bottom w:val="single" w:sz="4" w:space="0" w:color="auto"/>
              <w:right w:val="single" w:sz="4" w:space="0" w:color="auto"/>
            </w:tcBorders>
          </w:tcPr>
          <w:p w:rsidR="005003C7" w:rsidRDefault="00204F37">
            <w:pPr>
              <w:pStyle w:val="TAH"/>
              <w:rPr>
                <w:rFonts w:eastAsia="宋体" w:cs="Arial"/>
                <w:b w:val="0"/>
                <w:bCs/>
                <w:lang w:val="en-US" w:eastAsia="zh-CN"/>
              </w:rPr>
            </w:pPr>
            <w:r>
              <w:rPr>
                <w:rFonts w:cs="Arial"/>
                <w:b w:val="0"/>
                <w:bCs/>
              </w:rPr>
              <w:t>120</w:t>
            </w:r>
            <w:r>
              <w:rPr>
                <w:rFonts w:eastAsia="宋体" w:cs="Arial" w:hint="eastAsia"/>
                <w:b w:val="0"/>
                <w:bCs/>
                <w:lang w:val="en-US" w:eastAsia="zh-CN"/>
              </w:rPr>
              <w:t>(NCP)</w:t>
            </w:r>
          </w:p>
        </w:tc>
        <w:tc>
          <w:tcPr>
            <w:tcW w:w="1477" w:type="pct"/>
            <w:tcBorders>
              <w:top w:val="single" w:sz="4" w:space="0" w:color="auto"/>
              <w:left w:val="single" w:sz="4" w:space="0" w:color="auto"/>
              <w:right w:val="single" w:sz="4" w:space="0" w:color="auto"/>
            </w:tcBorders>
          </w:tcPr>
          <w:p w:rsidR="005003C7" w:rsidRDefault="0077133F">
            <w:pPr>
              <w:pStyle w:val="TAH"/>
              <w:rPr>
                <w:rFonts w:eastAsia="宋体" w:cs="Arial"/>
                <w:b w:val="0"/>
                <w:bCs/>
                <w:lang w:val="en-US" w:eastAsia="zh-CN"/>
              </w:rPr>
            </w:pPr>
            <w:r>
              <w:rPr>
                <w:rFonts w:eastAsia="宋体" w:cs="Arial"/>
                <w:b w:val="0"/>
                <w:bCs/>
                <w:lang w:val="en-US" w:eastAsia="zh-CN"/>
              </w:rPr>
              <w:t>N</w:t>
            </w:r>
            <w:r w:rsidR="0077715A">
              <w:rPr>
                <w:rFonts w:eastAsia="宋体" w:cs="Arial"/>
                <w:b w:val="0"/>
                <w:bCs/>
                <w:lang w:val="en-US" w:eastAsia="zh-CN"/>
              </w:rPr>
              <w:t>/</w:t>
            </w:r>
            <w:r>
              <w:rPr>
                <w:rFonts w:eastAsia="宋体" w:cs="Arial"/>
                <w:b w:val="0"/>
                <w:bCs/>
                <w:lang w:val="en-US" w:eastAsia="zh-CN"/>
              </w:rPr>
              <w:t>A</w:t>
            </w:r>
          </w:p>
        </w:tc>
      </w:tr>
    </w:tbl>
    <w:p w:rsidR="005003C7" w:rsidRDefault="00204F37">
      <w:pPr>
        <w:pStyle w:val="31"/>
        <w:spacing w:line="360" w:lineRule="auto"/>
        <w:jc w:val="both"/>
        <w:rPr>
          <w:rFonts w:eastAsia="宋体"/>
          <w:b/>
          <w:bCs/>
          <w:kern w:val="0"/>
          <w:sz w:val="22"/>
        </w:rPr>
      </w:pPr>
      <w:r>
        <w:rPr>
          <w:rFonts w:eastAsia="宋体" w:hint="eastAsia"/>
          <w:b/>
          <w:bCs/>
          <w:kern w:val="0"/>
          <w:sz w:val="22"/>
        </w:rPr>
        <w:t xml:space="preserve">The table can be regarded as the minimum requirements, RAN4 shall define the </w:t>
      </w:r>
      <w:proofErr w:type="gramStart"/>
      <w:r>
        <w:rPr>
          <w:rFonts w:eastAsia="宋体" w:hint="eastAsia"/>
          <w:b/>
          <w:bCs/>
          <w:kern w:val="0"/>
          <w:sz w:val="22"/>
        </w:rPr>
        <w:t>concrete  requirements</w:t>
      </w:r>
      <w:proofErr w:type="gramEnd"/>
      <w:r>
        <w:rPr>
          <w:rFonts w:eastAsia="宋体" w:hint="eastAsia"/>
          <w:b/>
          <w:bCs/>
          <w:kern w:val="0"/>
          <w:sz w:val="22"/>
        </w:rPr>
        <w:t xml:space="preserve"> under different cases.</w:t>
      </w:r>
      <w:r w:rsidR="00CC17FB">
        <w:rPr>
          <w:rFonts w:eastAsia="宋体"/>
          <w:b/>
          <w:bCs/>
          <w:kern w:val="0"/>
          <w:sz w:val="22"/>
        </w:rPr>
        <w:t xml:space="preserve"> </w:t>
      </w:r>
    </w:p>
    <w:p w:rsidR="00660127" w:rsidRPr="00CD53EF" w:rsidRDefault="00660127">
      <w:pPr>
        <w:pStyle w:val="31"/>
        <w:spacing w:line="360" w:lineRule="auto"/>
        <w:jc w:val="both"/>
        <w:rPr>
          <w:rFonts w:eastAsia="宋体"/>
          <w:kern w:val="0"/>
          <w:sz w:val="22"/>
        </w:rPr>
      </w:pPr>
      <w:r w:rsidRPr="00CD53EF">
        <w:rPr>
          <w:rFonts w:eastAsia="宋体"/>
          <w:kern w:val="0"/>
          <w:sz w:val="22"/>
        </w:rPr>
        <w:t>However, if companies would like to define related requirements, we would like to relax the limitation which the total budget shall not exceed the one CP length not the 0.5CP length, and the remaining positioning error will be 45m includes 15m (ideal condition for GNSS error) and 30m (R17 SAT-positioning error), and the requirements can be define under such conditions.</w:t>
      </w:r>
    </w:p>
    <w:tbl>
      <w:tblPr>
        <w:tblW w:w="31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523"/>
        <w:gridCol w:w="1523"/>
        <w:gridCol w:w="1809"/>
      </w:tblGrid>
      <w:tr w:rsidR="00CD53EF" w:rsidTr="00942A03">
        <w:trPr>
          <w:cantSplit/>
          <w:jc w:val="center"/>
        </w:trPr>
        <w:tc>
          <w:tcPr>
            <w:tcW w:w="1035" w:type="pct"/>
            <w:tcBorders>
              <w:top w:val="single" w:sz="4" w:space="0" w:color="auto"/>
              <w:left w:val="single" w:sz="4" w:space="0" w:color="auto"/>
              <w:bottom w:val="single" w:sz="4" w:space="0" w:color="auto"/>
              <w:right w:val="single" w:sz="4" w:space="0" w:color="auto"/>
            </w:tcBorders>
            <w:vAlign w:val="center"/>
          </w:tcPr>
          <w:p w:rsidR="00CD53EF" w:rsidRDefault="00CD53EF" w:rsidP="00942A03">
            <w:pPr>
              <w:pStyle w:val="TAH"/>
              <w:rPr>
                <w:rFonts w:cs="Arial"/>
              </w:rPr>
            </w:pPr>
            <w:r>
              <w:rPr>
                <w:rFonts w:cs="Arial"/>
              </w:rPr>
              <w:t>Frequency Range</w:t>
            </w:r>
          </w:p>
        </w:tc>
        <w:tc>
          <w:tcPr>
            <w:tcW w:w="1244" w:type="pct"/>
            <w:tcBorders>
              <w:top w:val="single" w:sz="4" w:space="0" w:color="auto"/>
              <w:left w:val="single" w:sz="4" w:space="0" w:color="auto"/>
              <w:bottom w:val="single" w:sz="4" w:space="0" w:color="auto"/>
              <w:right w:val="single" w:sz="4" w:space="0" w:color="auto"/>
            </w:tcBorders>
            <w:vAlign w:val="center"/>
          </w:tcPr>
          <w:p w:rsidR="00CD53EF" w:rsidRDefault="00CD53EF" w:rsidP="00942A03">
            <w:pPr>
              <w:pStyle w:val="TAH"/>
              <w:rPr>
                <w:rFonts w:cs="Arial"/>
              </w:rPr>
            </w:pPr>
            <w:r>
              <w:rPr>
                <w:rFonts w:cs="Arial"/>
              </w:rPr>
              <w:t>SCS of SSB signals (kHz)</w:t>
            </w:r>
          </w:p>
        </w:tc>
        <w:tc>
          <w:tcPr>
            <w:tcW w:w="1244" w:type="pct"/>
            <w:tcBorders>
              <w:top w:val="single" w:sz="4" w:space="0" w:color="auto"/>
              <w:left w:val="single" w:sz="4" w:space="0" w:color="auto"/>
              <w:bottom w:val="single" w:sz="4" w:space="0" w:color="auto"/>
              <w:right w:val="single" w:sz="4" w:space="0" w:color="auto"/>
            </w:tcBorders>
            <w:vAlign w:val="center"/>
          </w:tcPr>
          <w:p w:rsidR="00CD53EF" w:rsidRDefault="00CD53EF" w:rsidP="00942A03">
            <w:pPr>
              <w:pStyle w:val="TAH"/>
              <w:rPr>
                <w:rFonts w:cs="Arial"/>
              </w:rPr>
            </w:pPr>
            <w:r>
              <w:rPr>
                <w:rFonts w:cs="Arial"/>
              </w:rPr>
              <w:t>SCS of uplink signals (kHz)</w:t>
            </w:r>
          </w:p>
        </w:tc>
        <w:tc>
          <w:tcPr>
            <w:tcW w:w="1477" w:type="pct"/>
            <w:tcBorders>
              <w:top w:val="single" w:sz="4" w:space="0" w:color="auto"/>
              <w:left w:val="single" w:sz="4" w:space="0" w:color="auto"/>
              <w:bottom w:val="single" w:sz="4" w:space="0" w:color="auto"/>
              <w:right w:val="single" w:sz="4" w:space="0" w:color="auto"/>
            </w:tcBorders>
            <w:vAlign w:val="center"/>
          </w:tcPr>
          <w:p w:rsidR="00CD53EF" w:rsidRDefault="00CD53EF" w:rsidP="00942A03">
            <w:pPr>
              <w:pStyle w:val="TAH"/>
              <w:rPr>
                <w:rFonts w:cs="Arial"/>
              </w:rPr>
            </w:pPr>
            <w:proofErr w:type="spellStart"/>
            <w:r>
              <w:rPr>
                <w:rFonts w:cs="Arial"/>
              </w:rPr>
              <w:t>T</w:t>
            </w:r>
            <w:r>
              <w:rPr>
                <w:rFonts w:cs="Arial"/>
                <w:vertAlign w:val="subscript"/>
              </w:rPr>
              <w:t>e_NTN</w:t>
            </w:r>
            <w:proofErr w:type="spellEnd"/>
          </w:p>
        </w:tc>
      </w:tr>
      <w:tr w:rsidR="00CD53EF" w:rsidTr="00942A03">
        <w:trPr>
          <w:cantSplit/>
          <w:trHeight w:val="231"/>
          <w:jc w:val="center"/>
        </w:trPr>
        <w:tc>
          <w:tcPr>
            <w:tcW w:w="1035" w:type="pct"/>
            <w:vMerge w:val="restart"/>
            <w:tcBorders>
              <w:left w:val="single" w:sz="4" w:space="0" w:color="auto"/>
              <w:right w:val="single" w:sz="4" w:space="0" w:color="auto"/>
            </w:tcBorders>
            <w:vAlign w:val="center"/>
          </w:tcPr>
          <w:p w:rsidR="00CD53EF" w:rsidRPr="0077133F" w:rsidRDefault="00CD53EF" w:rsidP="00942A03">
            <w:pPr>
              <w:pStyle w:val="TAH"/>
              <w:rPr>
                <w:rFonts w:eastAsiaTheme="minorEastAsia" w:cs="Arial"/>
                <w:b w:val="0"/>
                <w:bCs/>
                <w:lang w:eastAsia="zh-CN"/>
              </w:rPr>
            </w:pPr>
            <w:r>
              <w:rPr>
                <w:rFonts w:eastAsiaTheme="minorEastAsia" w:cs="Arial"/>
                <w:b w:val="0"/>
                <w:bCs/>
                <w:lang w:eastAsia="zh-CN"/>
              </w:rPr>
              <w:t>2</w:t>
            </w:r>
          </w:p>
        </w:tc>
        <w:tc>
          <w:tcPr>
            <w:tcW w:w="1244" w:type="pct"/>
            <w:tcBorders>
              <w:left w:val="single" w:sz="4" w:space="0" w:color="auto"/>
              <w:bottom w:val="single" w:sz="4" w:space="0" w:color="auto"/>
              <w:right w:val="single" w:sz="4" w:space="0" w:color="auto"/>
            </w:tcBorders>
            <w:vAlign w:val="center"/>
          </w:tcPr>
          <w:p w:rsidR="00CD53EF" w:rsidRPr="0077133F" w:rsidRDefault="00CD53EF" w:rsidP="00942A03">
            <w:pPr>
              <w:pStyle w:val="TAH"/>
              <w:rPr>
                <w:rFonts w:eastAsiaTheme="minorEastAsia" w:cs="Arial"/>
                <w:b w:val="0"/>
                <w:bCs/>
                <w:lang w:eastAsia="zh-CN"/>
              </w:rPr>
            </w:pPr>
            <w:r>
              <w:rPr>
                <w:rFonts w:eastAsiaTheme="minorEastAsia" w:cs="Arial" w:hint="eastAsia"/>
                <w:b w:val="0"/>
                <w:bCs/>
                <w:lang w:eastAsia="zh-CN"/>
              </w:rPr>
              <w:t>1</w:t>
            </w:r>
            <w:r>
              <w:rPr>
                <w:rFonts w:eastAsiaTheme="minorEastAsia" w:cs="Arial"/>
                <w:b w:val="0"/>
                <w:bCs/>
                <w:lang w:eastAsia="zh-CN"/>
              </w:rPr>
              <w:t>20</w:t>
            </w:r>
          </w:p>
        </w:tc>
        <w:tc>
          <w:tcPr>
            <w:tcW w:w="1244" w:type="pct"/>
            <w:tcBorders>
              <w:top w:val="single" w:sz="4" w:space="0" w:color="auto"/>
              <w:left w:val="single" w:sz="4" w:space="0" w:color="auto"/>
              <w:right w:val="single" w:sz="4" w:space="0" w:color="auto"/>
            </w:tcBorders>
          </w:tcPr>
          <w:p w:rsidR="00CD53EF" w:rsidRDefault="00CD53EF" w:rsidP="00942A03">
            <w:pPr>
              <w:pStyle w:val="TAH"/>
              <w:rPr>
                <w:rFonts w:eastAsia="宋体" w:cs="Arial"/>
                <w:b w:val="0"/>
                <w:bCs/>
                <w:lang w:val="en-US" w:eastAsia="zh-CN"/>
              </w:rPr>
            </w:pPr>
            <w:r>
              <w:rPr>
                <w:rFonts w:cs="Arial"/>
                <w:b w:val="0"/>
                <w:bCs/>
              </w:rPr>
              <w:t>120</w:t>
            </w:r>
            <w:r>
              <w:rPr>
                <w:rFonts w:eastAsia="宋体" w:cs="Arial" w:hint="eastAsia"/>
                <w:b w:val="0"/>
                <w:bCs/>
                <w:lang w:val="en-US" w:eastAsia="zh-CN"/>
              </w:rPr>
              <w:t>(NCP)</w:t>
            </w:r>
          </w:p>
        </w:tc>
        <w:tc>
          <w:tcPr>
            <w:tcW w:w="1477" w:type="pct"/>
            <w:tcBorders>
              <w:top w:val="single" w:sz="4" w:space="0" w:color="auto"/>
              <w:left w:val="single" w:sz="4" w:space="0" w:color="auto"/>
              <w:right w:val="single" w:sz="4" w:space="0" w:color="auto"/>
            </w:tcBorders>
          </w:tcPr>
          <w:p w:rsidR="00CD53EF" w:rsidRDefault="00CD53EF" w:rsidP="00942A03">
            <w:pPr>
              <w:pStyle w:val="TAH"/>
              <w:rPr>
                <w:rFonts w:eastAsia="宋体" w:cs="Arial"/>
                <w:b w:val="0"/>
                <w:bCs/>
                <w:lang w:val="en-US" w:eastAsia="zh-CN"/>
              </w:rPr>
            </w:pPr>
            <w:r>
              <w:rPr>
                <w:rFonts w:eastAsia="宋体" w:cs="Arial"/>
                <w:b w:val="0"/>
                <w:bCs/>
                <w:lang w:val="en-US" w:eastAsia="zh-CN"/>
              </w:rPr>
              <w:t>9Ts</w:t>
            </w:r>
          </w:p>
        </w:tc>
      </w:tr>
      <w:tr w:rsidR="00CD53EF" w:rsidTr="00942A03">
        <w:trPr>
          <w:cantSplit/>
          <w:trHeight w:val="103"/>
          <w:jc w:val="center"/>
        </w:trPr>
        <w:tc>
          <w:tcPr>
            <w:tcW w:w="1035" w:type="pct"/>
            <w:vMerge/>
            <w:tcBorders>
              <w:left w:val="single" w:sz="4" w:space="0" w:color="auto"/>
              <w:bottom w:val="single" w:sz="4" w:space="0" w:color="auto"/>
              <w:right w:val="single" w:sz="4" w:space="0" w:color="auto"/>
            </w:tcBorders>
          </w:tcPr>
          <w:p w:rsidR="00CD53EF" w:rsidRDefault="00CD53EF" w:rsidP="00942A03">
            <w:pPr>
              <w:pStyle w:val="TAH"/>
              <w:rPr>
                <w:rFonts w:cs="Arial"/>
                <w:b w:val="0"/>
                <w:bCs/>
              </w:rPr>
            </w:pPr>
          </w:p>
        </w:tc>
        <w:tc>
          <w:tcPr>
            <w:tcW w:w="1244" w:type="pct"/>
            <w:tcBorders>
              <w:left w:val="single" w:sz="4" w:space="0" w:color="auto"/>
              <w:bottom w:val="single" w:sz="4" w:space="0" w:color="auto"/>
              <w:right w:val="single" w:sz="4" w:space="0" w:color="auto"/>
            </w:tcBorders>
          </w:tcPr>
          <w:p w:rsidR="00CD53EF" w:rsidRPr="0077133F" w:rsidRDefault="00CD53EF" w:rsidP="00942A03">
            <w:pPr>
              <w:pStyle w:val="TAH"/>
              <w:rPr>
                <w:rFonts w:eastAsiaTheme="minorEastAsia" w:cs="Arial"/>
                <w:b w:val="0"/>
                <w:bCs/>
                <w:lang w:eastAsia="zh-CN"/>
              </w:rPr>
            </w:pPr>
            <w:r>
              <w:rPr>
                <w:rFonts w:eastAsiaTheme="minorEastAsia" w:cs="Arial" w:hint="eastAsia"/>
                <w:b w:val="0"/>
                <w:bCs/>
                <w:lang w:eastAsia="zh-CN"/>
              </w:rPr>
              <w:t>2</w:t>
            </w:r>
            <w:r>
              <w:rPr>
                <w:rFonts w:eastAsiaTheme="minorEastAsia" w:cs="Arial"/>
                <w:b w:val="0"/>
                <w:bCs/>
                <w:lang w:eastAsia="zh-CN"/>
              </w:rPr>
              <w:t>40</w:t>
            </w:r>
          </w:p>
        </w:tc>
        <w:tc>
          <w:tcPr>
            <w:tcW w:w="1244" w:type="pct"/>
            <w:tcBorders>
              <w:top w:val="single" w:sz="4" w:space="0" w:color="auto"/>
              <w:left w:val="single" w:sz="4" w:space="0" w:color="auto"/>
              <w:bottom w:val="single" w:sz="4" w:space="0" w:color="auto"/>
              <w:right w:val="single" w:sz="4" w:space="0" w:color="auto"/>
            </w:tcBorders>
          </w:tcPr>
          <w:p w:rsidR="00CD53EF" w:rsidRDefault="00CD53EF" w:rsidP="00942A03">
            <w:pPr>
              <w:pStyle w:val="TAH"/>
              <w:rPr>
                <w:rFonts w:eastAsia="宋体" w:cs="Arial"/>
                <w:b w:val="0"/>
                <w:bCs/>
                <w:lang w:val="en-US" w:eastAsia="zh-CN"/>
              </w:rPr>
            </w:pPr>
            <w:r>
              <w:rPr>
                <w:rFonts w:cs="Arial"/>
                <w:b w:val="0"/>
                <w:bCs/>
              </w:rPr>
              <w:t>120</w:t>
            </w:r>
            <w:r>
              <w:rPr>
                <w:rFonts w:eastAsia="宋体" w:cs="Arial" w:hint="eastAsia"/>
                <w:b w:val="0"/>
                <w:bCs/>
                <w:lang w:val="en-US" w:eastAsia="zh-CN"/>
              </w:rPr>
              <w:t>(NCP)</w:t>
            </w:r>
          </w:p>
        </w:tc>
        <w:tc>
          <w:tcPr>
            <w:tcW w:w="1477" w:type="pct"/>
            <w:tcBorders>
              <w:top w:val="single" w:sz="4" w:space="0" w:color="auto"/>
              <w:left w:val="single" w:sz="4" w:space="0" w:color="auto"/>
              <w:right w:val="single" w:sz="4" w:space="0" w:color="auto"/>
            </w:tcBorders>
          </w:tcPr>
          <w:p w:rsidR="00CD53EF" w:rsidRDefault="00CD53EF" w:rsidP="00942A03">
            <w:pPr>
              <w:pStyle w:val="TAH"/>
              <w:rPr>
                <w:rFonts w:eastAsia="宋体" w:cs="Arial"/>
                <w:b w:val="0"/>
                <w:bCs/>
                <w:lang w:val="en-US" w:eastAsia="zh-CN"/>
              </w:rPr>
            </w:pPr>
            <w:r>
              <w:rPr>
                <w:rFonts w:eastAsia="宋体" w:cs="Arial"/>
                <w:b w:val="0"/>
                <w:bCs/>
                <w:lang w:val="en-US" w:eastAsia="zh-CN"/>
              </w:rPr>
              <w:t>9Ts</w:t>
            </w:r>
          </w:p>
        </w:tc>
      </w:tr>
    </w:tbl>
    <w:p w:rsidR="00CD53EF" w:rsidRPr="00CD53EF" w:rsidRDefault="00CD53EF">
      <w:pPr>
        <w:pStyle w:val="31"/>
        <w:spacing w:line="360" w:lineRule="auto"/>
        <w:jc w:val="both"/>
        <w:rPr>
          <w:rFonts w:eastAsia="宋体"/>
          <w:b/>
          <w:bCs/>
          <w:kern w:val="0"/>
          <w:sz w:val="22"/>
        </w:rPr>
      </w:pPr>
      <w:r>
        <w:rPr>
          <w:b/>
          <w:bCs/>
          <w:sz w:val="22"/>
          <w:szCs w:val="22"/>
        </w:rPr>
        <w:t>Observation 4:</w:t>
      </w:r>
      <w:r w:rsidRPr="00CD53EF">
        <w:rPr>
          <w:rFonts w:eastAsia="宋体"/>
          <w:b/>
          <w:bCs/>
          <w:kern w:val="0"/>
          <w:sz w:val="22"/>
        </w:rPr>
        <w:t xml:space="preserve"> Even if the total budget does not exceed the 0.5CP length the Te requirements shall not be defined for UL SCS=120kHz.</w:t>
      </w:r>
    </w:p>
    <w:p w:rsidR="00CD53EF" w:rsidRPr="00CD53EF" w:rsidRDefault="00CD53EF" w:rsidP="00CD53EF">
      <w:pPr>
        <w:pStyle w:val="31"/>
        <w:spacing w:line="360" w:lineRule="auto"/>
        <w:jc w:val="both"/>
        <w:rPr>
          <w:rFonts w:eastAsia="宋体"/>
          <w:b/>
          <w:bCs/>
          <w:kern w:val="0"/>
          <w:sz w:val="22"/>
        </w:rPr>
      </w:pPr>
      <w:r w:rsidRPr="00CD53EF">
        <w:rPr>
          <w:rFonts w:eastAsia="宋体"/>
          <w:b/>
          <w:bCs/>
          <w:kern w:val="0"/>
          <w:sz w:val="22"/>
        </w:rPr>
        <w:t>Proposal 2: If the total budget does not exceed the one CP length the Te requirements shall be defined for UL SCS=120kHz as below:</w:t>
      </w:r>
    </w:p>
    <w:tbl>
      <w:tblPr>
        <w:tblW w:w="31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523"/>
        <w:gridCol w:w="1523"/>
        <w:gridCol w:w="1809"/>
      </w:tblGrid>
      <w:tr w:rsidR="00CD53EF" w:rsidTr="00942A03">
        <w:trPr>
          <w:cantSplit/>
          <w:jc w:val="center"/>
        </w:trPr>
        <w:tc>
          <w:tcPr>
            <w:tcW w:w="1035" w:type="pct"/>
            <w:tcBorders>
              <w:top w:val="single" w:sz="4" w:space="0" w:color="auto"/>
              <w:left w:val="single" w:sz="4" w:space="0" w:color="auto"/>
              <w:bottom w:val="single" w:sz="4" w:space="0" w:color="auto"/>
              <w:right w:val="single" w:sz="4" w:space="0" w:color="auto"/>
            </w:tcBorders>
            <w:vAlign w:val="center"/>
          </w:tcPr>
          <w:p w:rsidR="00CD53EF" w:rsidRDefault="00CD53EF" w:rsidP="00942A03">
            <w:pPr>
              <w:pStyle w:val="TAH"/>
              <w:rPr>
                <w:rFonts w:cs="Arial"/>
              </w:rPr>
            </w:pPr>
            <w:r>
              <w:rPr>
                <w:rFonts w:cs="Arial"/>
              </w:rPr>
              <w:t>Frequency Range</w:t>
            </w:r>
          </w:p>
        </w:tc>
        <w:tc>
          <w:tcPr>
            <w:tcW w:w="1244" w:type="pct"/>
            <w:tcBorders>
              <w:top w:val="single" w:sz="4" w:space="0" w:color="auto"/>
              <w:left w:val="single" w:sz="4" w:space="0" w:color="auto"/>
              <w:bottom w:val="single" w:sz="4" w:space="0" w:color="auto"/>
              <w:right w:val="single" w:sz="4" w:space="0" w:color="auto"/>
            </w:tcBorders>
            <w:vAlign w:val="center"/>
          </w:tcPr>
          <w:p w:rsidR="00CD53EF" w:rsidRDefault="00CD53EF" w:rsidP="00942A03">
            <w:pPr>
              <w:pStyle w:val="TAH"/>
              <w:rPr>
                <w:rFonts w:cs="Arial"/>
              </w:rPr>
            </w:pPr>
            <w:r>
              <w:rPr>
                <w:rFonts w:cs="Arial"/>
              </w:rPr>
              <w:t>SCS of SSB signals (kHz)</w:t>
            </w:r>
          </w:p>
        </w:tc>
        <w:tc>
          <w:tcPr>
            <w:tcW w:w="1244" w:type="pct"/>
            <w:tcBorders>
              <w:top w:val="single" w:sz="4" w:space="0" w:color="auto"/>
              <w:left w:val="single" w:sz="4" w:space="0" w:color="auto"/>
              <w:bottom w:val="single" w:sz="4" w:space="0" w:color="auto"/>
              <w:right w:val="single" w:sz="4" w:space="0" w:color="auto"/>
            </w:tcBorders>
            <w:vAlign w:val="center"/>
          </w:tcPr>
          <w:p w:rsidR="00CD53EF" w:rsidRDefault="00CD53EF" w:rsidP="00942A03">
            <w:pPr>
              <w:pStyle w:val="TAH"/>
              <w:rPr>
                <w:rFonts w:cs="Arial"/>
              </w:rPr>
            </w:pPr>
            <w:r>
              <w:rPr>
                <w:rFonts w:cs="Arial"/>
              </w:rPr>
              <w:t>SCS of uplink signals (kHz)</w:t>
            </w:r>
          </w:p>
        </w:tc>
        <w:tc>
          <w:tcPr>
            <w:tcW w:w="1477" w:type="pct"/>
            <w:tcBorders>
              <w:top w:val="single" w:sz="4" w:space="0" w:color="auto"/>
              <w:left w:val="single" w:sz="4" w:space="0" w:color="auto"/>
              <w:bottom w:val="single" w:sz="4" w:space="0" w:color="auto"/>
              <w:right w:val="single" w:sz="4" w:space="0" w:color="auto"/>
            </w:tcBorders>
            <w:vAlign w:val="center"/>
          </w:tcPr>
          <w:p w:rsidR="00CD53EF" w:rsidRDefault="00CD53EF" w:rsidP="00942A03">
            <w:pPr>
              <w:pStyle w:val="TAH"/>
              <w:rPr>
                <w:rFonts w:cs="Arial"/>
              </w:rPr>
            </w:pPr>
            <w:proofErr w:type="spellStart"/>
            <w:r>
              <w:rPr>
                <w:rFonts w:cs="Arial"/>
              </w:rPr>
              <w:t>T</w:t>
            </w:r>
            <w:r>
              <w:rPr>
                <w:rFonts w:cs="Arial"/>
                <w:vertAlign w:val="subscript"/>
              </w:rPr>
              <w:t>e_NTN</w:t>
            </w:r>
            <w:proofErr w:type="spellEnd"/>
          </w:p>
        </w:tc>
      </w:tr>
      <w:tr w:rsidR="00CD53EF" w:rsidTr="00942A03">
        <w:trPr>
          <w:cantSplit/>
          <w:trHeight w:val="231"/>
          <w:jc w:val="center"/>
        </w:trPr>
        <w:tc>
          <w:tcPr>
            <w:tcW w:w="1035" w:type="pct"/>
            <w:vMerge w:val="restart"/>
            <w:tcBorders>
              <w:left w:val="single" w:sz="4" w:space="0" w:color="auto"/>
              <w:right w:val="single" w:sz="4" w:space="0" w:color="auto"/>
            </w:tcBorders>
            <w:vAlign w:val="center"/>
          </w:tcPr>
          <w:p w:rsidR="00CD53EF" w:rsidRPr="0077133F" w:rsidRDefault="00CD53EF" w:rsidP="00942A03">
            <w:pPr>
              <w:pStyle w:val="TAH"/>
              <w:rPr>
                <w:rFonts w:eastAsiaTheme="minorEastAsia" w:cs="Arial"/>
                <w:b w:val="0"/>
                <w:bCs/>
                <w:lang w:eastAsia="zh-CN"/>
              </w:rPr>
            </w:pPr>
            <w:r>
              <w:rPr>
                <w:rFonts w:eastAsiaTheme="minorEastAsia" w:cs="Arial"/>
                <w:b w:val="0"/>
                <w:bCs/>
                <w:lang w:eastAsia="zh-CN"/>
              </w:rPr>
              <w:t>2</w:t>
            </w:r>
          </w:p>
        </w:tc>
        <w:tc>
          <w:tcPr>
            <w:tcW w:w="1244" w:type="pct"/>
            <w:tcBorders>
              <w:left w:val="single" w:sz="4" w:space="0" w:color="auto"/>
              <w:bottom w:val="single" w:sz="4" w:space="0" w:color="auto"/>
              <w:right w:val="single" w:sz="4" w:space="0" w:color="auto"/>
            </w:tcBorders>
            <w:vAlign w:val="center"/>
          </w:tcPr>
          <w:p w:rsidR="00CD53EF" w:rsidRPr="0077133F" w:rsidRDefault="00CD53EF" w:rsidP="00942A03">
            <w:pPr>
              <w:pStyle w:val="TAH"/>
              <w:rPr>
                <w:rFonts w:eastAsiaTheme="minorEastAsia" w:cs="Arial"/>
                <w:b w:val="0"/>
                <w:bCs/>
                <w:lang w:eastAsia="zh-CN"/>
              </w:rPr>
            </w:pPr>
            <w:r>
              <w:rPr>
                <w:rFonts w:eastAsiaTheme="minorEastAsia" w:cs="Arial" w:hint="eastAsia"/>
                <w:b w:val="0"/>
                <w:bCs/>
                <w:lang w:eastAsia="zh-CN"/>
              </w:rPr>
              <w:t>1</w:t>
            </w:r>
            <w:r>
              <w:rPr>
                <w:rFonts w:eastAsiaTheme="minorEastAsia" w:cs="Arial"/>
                <w:b w:val="0"/>
                <w:bCs/>
                <w:lang w:eastAsia="zh-CN"/>
              </w:rPr>
              <w:t>20</w:t>
            </w:r>
          </w:p>
        </w:tc>
        <w:tc>
          <w:tcPr>
            <w:tcW w:w="1244" w:type="pct"/>
            <w:tcBorders>
              <w:top w:val="single" w:sz="4" w:space="0" w:color="auto"/>
              <w:left w:val="single" w:sz="4" w:space="0" w:color="auto"/>
              <w:right w:val="single" w:sz="4" w:space="0" w:color="auto"/>
            </w:tcBorders>
          </w:tcPr>
          <w:p w:rsidR="00CD53EF" w:rsidRDefault="00CD53EF" w:rsidP="00942A03">
            <w:pPr>
              <w:pStyle w:val="TAH"/>
              <w:rPr>
                <w:rFonts w:eastAsia="宋体" w:cs="Arial"/>
                <w:b w:val="0"/>
                <w:bCs/>
                <w:lang w:val="en-US" w:eastAsia="zh-CN"/>
              </w:rPr>
            </w:pPr>
            <w:r>
              <w:rPr>
                <w:rFonts w:cs="Arial"/>
                <w:b w:val="0"/>
                <w:bCs/>
              </w:rPr>
              <w:t>120</w:t>
            </w:r>
            <w:r>
              <w:rPr>
                <w:rFonts w:eastAsia="宋体" w:cs="Arial" w:hint="eastAsia"/>
                <w:b w:val="0"/>
                <w:bCs/>
                <w:lang w:val="en-US" w:eastAsia="zh-CN"/>
              </w:rPr>
              <w:t>(NCP)</w:t>
            </w:r>
          </w:p>
        </w:tc>
        <w:tc>
          <w:tcPr>
            <w:tcW w:w="1477" w:type="pct"/>
            <w:tcBorders>
              <w:top w:val="single" w:sz="4" w:space="0" w:color="auto"/>
              <w:left w:val="single" w:sz="4" w:space="0" w:color="auto"/>
              <w:right w:val="single" w:sz="4" w:space="0" w:color="auto"/>
            </w:tcBorders>
          </w:tcPr>
          <w:p w:rsidR="00CD53EF" w:rsidRDefault="00CD53EF" w:rsidP="00942A03">
            <w:pPr>
              <w:pStyle w:val="TAH"/>
              <w:rPr>
                <w:rFonts w:eastAsia="宋体" w:cs="Arial"/>
                <w:b w:val="0"/>
                <w:bCs/>
                <w:lang w:val="en-US" w:eastAsia="zh-CN"/>
              </w:rPr>
            </w:pPr>
            <w:r>
              <w:rPr>
                <w:rFonts w:eastAsia="宋体" w:cs="Arial"/>
                <w:b w:val="0"/>
                <w:bCs/>
                <w:lang w:val="en-US" w:eastAsia="zh-CN"/>
              </w:rPr>
              <w:t>9Ts</w:t>
            </w:r>
          </w:p>
        </w:tc>
      </w:tr>
      <w:tr w:rsidR="00CD53EF" w:rsidTr="00942A03">
        <w:trPr>
          <w:cantSplit/>
          <w:trHeight w:val="103"/>
          <w:jc w:val="center"/>
        </w:trPr>
        <w:tc>
          <w:tcPr>
            <w:tcW w:w="1035" w:type="pct"/>
            <w:vMerge/>
            <w:tcBorders>
              <w:left w:val="single" w:sz="4" w:space="0" w:color="auto"/>
              <w:bottom w:val="single" w:sz="4" w:space="0" w:color="auto"/>
              <w:right w:val="single" w:sz="4" w:space="0" w:color="auto"/>
            </w:tcBorders>
          </w:tcPr>
          <w:p w:rsidR="00CD53EF" w:rsidRDefault="00CD53EF" w:rsidP="00942A03">
            <w:pPr>
              <w:pStyle w:val="TAH"/>
              <w:rPr>
                <w:rFonts w:cs="Arial"/>
                <w:b w:val="0"/>
                <w:bCs/>
              </w:rPr>
            </w:pPr>
          </w:p>
        </w:tc>
        <w:tc>
          <w:tcPr>
            <w:tcW w:w="1244" w:type="pct"/>
            <w:tcBorders>
              <w:left w:val="single" w:sz="4" w:space="0" w:color="auto"/>
              <w:bottom w:val="single" w:sz="4" w:space="0" w:color="auto"/>
              <w:right w:val="single" w:sz="4" w:space="0" w:color="auto"/>
            </w:tcBorders>
          </w:tcPr>
          <w:p w:rsidR="00CD53EF" w:rsidRPr="0077133F" w:rsidRDefault="00CD53EF" w:rsidP="00942A03">
            <w:pPr>
              <w:pStyle w:val="TAH"/>
              <w:rPr>
                <w:rFonts w:eastAsiaTheme="minorEastAsia" w:cs="Arial"/>
                <w:b w:val="0"/>
                <w:bCs/>
                <w:lang w:eastAsia="zh-CN"/>
              </w:rPr>
            </w:pPr>
            <w:r>
              <w:rPr>
                <w:rFonts w:eastAsiaTheme="minorEastAsia" w:cs="Arial" w:hint="eastAsia"/>
                <w:b w:val="0"/>
                <w:bCs/>
                <w:lang w:eastAsia="zh-CN"/>
              </w:rPr>
              <w:t>2</w:t>
            </w:r>
            <w:r>
              <w:rPr>
                <w:rFonts w:eastAsiaTheme="minorEastAsia" w:cs="Arial"/>
                <w:b w:val="0"/>
                <w:bCs/>
                <w:lang w:eastAsia="zh-CN"/>
              </w:rPr>
              <w:t>40</w:t>
            </w:r>
          </w:p>
        </w:tc>
        <w:tc>
          <w:tcPr>
            <w:tcW w:w="1244" w:type="pct"/>
            <w:tcBorders>
              <w:top w:val="single" w:sz="4" w:space="0" w:color="auto"/>
              <w:left w:val="single" w:sz="4" w:space="0" w:color="auto"/>
              <w:bottom w:val="single" w:sz="4" w:space="0" w:color="auto"/>
              <w:right w:val="single" w:sz="4" w:space="0" w:color="auto"/>
            </w:tcBorders>
          </w:tcPr>
          <w:p w:rsidR="00CD53EF" w:rsidRDefault="00CD53EF" w:rsidP="00942A03">
            <w:pPr>
              <w:pStyle w:val="TAH"/>
              <w:rPr>
                <w:rFonts w:eastAsia="宋体" w:cs="Arial"/>
                <w:b w:val="0"/>
                <w:bCs/>
                <w:lang w:val="en-US" w:eastAsia="zh-CN"/>
              </w:rPr>
            </w:pPr>
            <w:r>
              <w:rPr>
                <w:rFonts w:cs="Arial"/>
                <w:b w:val="0"/>
                <w:bCs/>
              </w:rPr>
              <w:t>120</w:t>
            </w:r>
            <w:r>
              <w:rPr>
                <w:rFonts w:eastAsia="宋体" w:cs="Arial" w:hint="eastAsia"/>
                <w:b w:val="0"/>
                <w:bCs/>
                <w:lang w:val="en-US" w:eastAsia="zh-CN"/>
              </w:rPr>
              <w:t>(NCP)</w:t>
            </w:r>
          </w:p>
        </w:tc>
        <w:tc>
          <w:tcPr>
            <w:tcW w:w="1477" w:type="pct"/>
            <w:tcBorders>
              <w:top w:val="single" w:sz="4" w:space="0" w:color="auto"/>
              <w:left w:val="single" w:sz="4" w:space="0" w:color="auto"/>
              <w:right w:val="single" w:sz="4" w:space="0" w:color="auto"/>
            </w:tcBorders>
          </w:tcPr>
          <w:p w:rsidR="00CD53EF" w:rsidRDefault="00CD53EF" w:rsidP="00942A03">
            <w:pPr>
              <w:pStyle w:val="TAH"/>
              <w:rPr>
                <w:rFonts w:eastAsia="宋体" w:cs="Arial"/>
                <w:b w:val="0"/>
                <w:bCs/>
                <w:lang w:val="en-US" w:eastAsia="zh-CN"/>
              </w:rPr>
            </w:pPr>
            <w:r>
              <w:rPr>
                <w:rFonts w:eastAsia="宋体" w:cs="Arial"/>
                <w:b w:val="0"/>
                <w:bCs/>
                <w:lang w:val="en-US" w:eastAsia="zh-CN"/>
              </w:rPr>
              <w:t>9Ts</w:t>
            </w:r>
          </w:p>
        </w:tc>
      </w:tr>
    </w:tbl>
    <w:p w:rsidR="00CD53EF" w:rsidRDefault="00CD53EF" w:rsidP="00CD53EF">
      <w:pPr>
        <w:pStyle w:val="31"/>
        <w:spacing w:line="360" w:lineRule="auto"/>
        <w:jc w:val="both"/>
        <w:rPr>
          <w:rFonts w:eastAsia="宋体"/>
          <w:kern w:val="0"/>
          <w:sz w:val="22"/>
        </w:rPr>
      </w:pPr>
    </w:p>
    <w:p w:rsidR="005003C7" w:rsidRDefault="00204F37">
      <w:pPr>
        <w:pStyle w:val="RAN4H1"/>
        <w:rPr>
          <w:lang w:val="en-US"/>
        </w:rPr>
      </w:pPr>
      <w:r>
        <w:rPr>
          <w:lang w:val="en-US"/>
        </w:rPr>
        <w:t>Conclusion</w:t>
      </w:r>
    </w:p>
    <w:p w:rsidR="005003C7" w:rsidRDefault="00204F37">
      <w:pPr>
        <w:spacing w:before="120" w:after="120"/>
        <w:rPr>
          <w:rFonts w:eastAsia="宋体"/>
          <w:lang w:eastAsia="zh-CN"/>
        </w:rPr>
      </w:pPr>
      <w:r>
        <w:rPr>
          <w:rFonts w:eastAsia="宋体"/>
          <w:lang w:eastAsia="zh-CN"/>
        </w:rPr>
        <w:t xml:space="preserve">In this paper we provided our views on </w:t>
      </w:r>
      <w:r>
        <w:rPr>
          <w:rFonts w:eastAsia="宋体" w:hint="eastAsia"/>
          <w:lang w:val="en-US" w:eastAsia="zh-CN"/>
        </w:rPr>
        <w:t>RRM requirements on R18 NR NTN enhancement</w:t>
      </w:r>
      <w:r>
        <w:rPr>
          <w:rFonts w:eastAsia="宋体"/>
          <w:lang w:eastAsia="zh-CN"/>
        </w:rPr>
        <w:t>.</w:t>
      </w:r>
    </w:p>
    <w:p w:rsidR="00586A03" w:rsidRDefault="00586A03" w:rsidP="00586A03">
      <w:pPr>
        <w:overflowPunct w:val="0"/>
        <w:autoSpaceDE w:val="0"/>
        <w:autoSpaceDN w:val="0"/>
        <w:adjustRightInd w:val="0"/>
        <w:spacing w:before="120" w:after="120" w:line="360" w:lineRule="auto"/>
        <w:jc w:val="both"/>
        <w:textAlignment w:val="baseline"/>
        <w:rPr>
          <w:rFonts w:eastAsia="宋体"/>
          <w:b/>
          <w:bCs/>
          <w:sz w:val="24"/>
          <w:szCs w:val="21"/>
          <w:lang w:val="en-US" w:eastAsia="zh-CN"/>
        </w:rPr>
      </w:pPr>
      <w:r>
        <w:rPr>
          <w:rFonts w:eastAsia="宋体" w:hint="eastAsia"/>
          <w:b/>
          <w:bCs/>
          <w:sz w:val="24"/>
          <w:szCs w:val="21"/>
          <w:lang w:val="en-US" w:eastAsia="zh-CN"/>
        </w:rPr>
        <w:t xml:space="preserve">Observation 1: The </w:t>
      </w:r>
      <w:proofErr w:type="spellStart"/>
      <w:r>
        <w:rPr>
          <w:rFonts w:eastAsia="宋体" w:hint="eastAsia"/>
          <w:b/>
          <w:bCs/>
          <w:sz w:val="24"/>
          <w:szCs w:val="21"/>
          <w:lang w:val="en-US" w:eastAsia="zh-CN"/>
        </w:rPr>
        <w:t>Te_GNSS</w:t>
      </w:r>
      <w:proofErr w:type="spellEnd"/>
      <w:r>
        <w:rPr>
          <w:rFonts w:eastAsia="宋体" w:hint="eastAsia"/>
          <w:b/>
          <w:bCs/>
          <w:sz w:val="24"/>
          <w:szCs w:val="21"/>
          <w:lang w:val="en-US" w:eastAsia="zh-CN"/>
        </w:rPr>
        <w:t xml:space="preserve"> is mainly up to the UE implementation, which is not influenced by fixed or mobile UE or the deployments of the satellite. </w:t>
      </w:r>
    </w:p>
    <w:p w:rsidR="00586A03" w:rsidRDefault="00586A03" w:rsidP="00586A03">
      <w:pPr>
        <w:overflowPunct w:val="0"/>
        <w:autoSpaceDE w:val="0"/>
        <w:autoSpaceDN w:val="0"/>
        <w:adjustRightInd w:val="0"/>
        <w:spacing w:before="120" w:after="120" w:line="360" w:lineRule="auto"/>
        <w:jc w:val="both"/>
        <w:textAlignment w:val="baseline"/>
        <w:rPr>
          <w:rFonts w:eastAsia="宋体"/>
          <w:b/>
          <w:bCs/>
          <w:sz w:val="24"/>
          <w:szCs w:val="21"/>
          <w:lang w:val="en-US" w:eastAsia="zh-CN"/>
        </w:rPr>
      </w:pPr>
      <w:r>
        <w:rPr>
          <w:rFonts w:eastAsia="宋体" w:hint="eastAsia"/>
          <w:b/>
          <w:bCs/>
          <w:sz w:val="24"/>
          <w:szCs w:val="21"/>
          <w:lang w:val="en-US" w:eastAsia="zh-CN"/>
        </w:rPr>
        <w:lastRenderedPageBreak/>
        <w:t>Observation 2: Serving-satellite will provide the PVT information to UE which helps UE to estimate the its positioning error, which can be impacted by the different deployment of the serving satellite and the fixed or mobile UE.</w:t>
      </w:r>
    </w:p>
    <w:p w:rsidR="00586A03" w:rsidRDefault="00586A03" w:rsidP="00586A03">
      <w:r>
        <w:rPr>
          <w:rFonts w:eastAsia="宋体" w:hint="eastAsia"/>
          <w:b/>
          <w:bCs/>
          <w:sz w:val="24"/>
          <w:szCs w:val="21"/>
          <w:lang w:val="en-US" w:eastAsia="zh-CN"/>
        </w:rPr>
        <w:t xml:space="preserve">Observation </w:t>
      </w:r>
      <w:r>
        <w:rPr>
          <w:rFonts w:eastAsia="宋体"/>
          <w:b/>
          <w:bCs/>
          <w:sz w:val="24"/>
          <w:szCs w:val="21"/>
          <w:lang w:val="en-US" w:eastAsia="zh-CN"/>
        </w:rPr>
        <w:t>3</w:t>
      </w:r>
      <w:r>
        <w:rPr>
          <w:rFonts w:eastAsia="宋体" w:hint="eastAsia"/>
          <w:b/>
          <w:bCs/>
          <w:sz w:val="24"/>
          <w:szCs w:val="21"/>
          <w:lang w:val="en-US" w:eastAsia="zh-CN"/>
        </w:rPr>
        <w:t>: For legacy requirements we had different requirements for different SCS, e.g. 15kHz and 30kHz.</w:t>
      </w:r>
    </w:p>
    <w:p w:rsidR="00586A03" w:rsidRDefault="00586A03" w:rsidP="00586A03">
      <w:pPr>
        <w:pStyle w:val="31"/>
        <w:spacing w:line="360" w:lineRule="auto"/>
        <w:rPr>
          <w:rFonts w:eastAsia="宋体"/>
          <w:b/>
          <w:bCs/>
          <w:kern w:val="0"/>
          <w:sz w:val="22"/>
        </w:rPr>
      </w:pPr>
      <w:r>
        <w:rPr>
          <w:rFonts w:eastAsia="宋体" w:hint="eastAsia"/>
          <w:b/>
          <w:bCs/>
          <w:kern w:val="0"/>
          <w:sz w:val="22"/>
        </w:rPr>
        <w:t xml:space="preserve">Proposal </w:t>
      </w:r>
      <w:r>
        <w:rPr>
          <w:rFonts w:eastAsia="宋体"/>
          <w:b/>
          <w:bCs/>
          <w:kern w:val="0"/>
          <w:sz w:val="22"/>
        </w:rPr>
        <w:t>1</w:t>
      </w:r>
      <w:r>
        <w:rPr>
          <w:rFonts w:eastAsia="宋体" w:hint="eastAsia"/>
          <w:b/>
          <w:bCs/>
          <w:kern w:val="0"/>
          <w:sz w:val="22"/>
        </w:rPr>
        <w:t xml:space="preserve">: </w:t>
      </w:r>
    </w:p>
    <w:tbl>
      <w:tblPr>
        <w:tblW w:w="31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523"/>
        <w:gridCol w:w="1523"/>
        <w:gridCol w:w="1809"/>
      </w:tblGrid>
      <w:tr w:rsidR="00586A03" w:rsidTr="0077133F">
        <w:trPr>
          <w:cantSplit/>
          <w:jc w:val="center"/>
        </w:trPr>
        <w:tc>
          <w:tcPr>
            <w:tcW w:w="1035" w:type="pct"/>
            <w:tcBorders>
              <w:top w:val="single" w:sz="4" w:space="0" w:color="auto"/>
              <w:left w:val="single" w:sz="4" w:space="0" w:color="auto"/>
              <w:bottom w:val="single" w:sz="4" w:space="0" w:color="auto"/>
              <w:right w:val="single" w:sz="4" w:space="0" w:color="auto"/>
            </w:tcBorders>
            <w:vAlign w:val="center"/>
          </w:tcPr>
          <w:p w:rsidR="00586A03" w:rsidRDefault="00586A03" w:rsidP="00942A03">
            <w:pPr>
              <w:pStyle w:val="TAH"/>
              <w:rPr>
                <w:rFonts w:cs="Arial"/>
              </w:rPr>
            </w:pPr>
            <w:r>
              <w:rPr>
                <w:rFonts w:cs="Arial"/>
              </w:rPr>
              <w:t>Frequency Range</w:t>
            </w:r>
          </w:p>
        </w:tc>
        <w:tc>
          <w:tcPr>
            <w:tcW w:w="1244" w:type="pct"/>
            <w:tcBorders>
              <w:top w:val="single" w:sz="4" w:space="0" w:color="auto"/>
              <w:left w:val="single" w:sz="4" w:space="0" w:color="auto"/>
              <w:bottom w:val="single" w:sz="4" w:space="0" w:color="auto"/>
              <w:right w:val="single" w:sz="4" w:space="0" w:color="auto"/>
            </w:tcBorders>
            <w:vAlign w:val="center"/>
          </w:tcPr>
          <w:p w:rsidR="00586A03" w:rsidRDefault="00586A03" w:rsidP="00942A03">
            <w:pPr>
              <w:pStyle w:val="TAH"/>
              <w:rPr>
                <w:rFonts w:cs="Arial"/>
              </w:rPr>
            </w:pPr>
            <w:r>
              <w:rPr>
                <w:rFonts w:cs="Arial"/>
              </w:rPr>
              <w:t>SCS of SSB signals (kHz)</w:t>
            </w:r>
          </w:p>
        </w:tc>
        <w:tc>
          <w:tcPr>
            <w:tcW w:w="1244" w:type="pct"/>
            <w:tcBorders>
              <w:top w:val="single" w:sz="4" w:space="0" w:color="auto"/>
              <w:left w:val="single" w:sz="4" w:space="0" w:color="auto"/>
              <w:bottom w:val="single" w:sz="4" w:space="0" w:color="auto"/>
              <w:right w:val="single" w:sz="4" w:space="0" w:color="auto"/>
            </w:tcBorders>
            <w:vAlign w:val="center"/>
          </w:tcPr>
          <w:p w:rsidR="00586A03" w:rsidRDefault="00586A03" w:rsidP="00942A03">
            <w:pPr>
              <w:pStyle w:val="TAH"/>
              <w:rPr>
                <w:rFonts w:cs="Arial"/>
              </w:rPr>
            </w:pPr>
            <w:r>
              <w:rPr>
                <w:rFonts w:cs="Arial"/>
              </w:rPr>
              <w:t>SCS of uplink signals (kHz)</w:t>
            </w:r>
          </w:p>
        </w:tc>
        <w:tc>
          <w:tcPr>
            <w:tcW w:w="1477" w:type="pct"/>
            <w:tcBorders>
              <w:top w:val="single" w:sz="4" w:space="0" w:color="auto"/>
              <w:left w:val="single" w:sz="4" w:space="0" w:color="auto"/>
              <w:bottom w:val="single" w:sz="4" w:space="0" w:color="auto"/>
              <w:right w:val="single" w:sz="4" w:space="0" w:color="auto"/>
            </w:tcBorders>
            <w:vAlign w:val="center"/>
          </w:tcPr>
          <w:p w:rsidR="00586A03" w:rsidRDefault="00586A03" w:rsidP="00942A03">
            <w:pPr>
              <w:pStyle w:val="TAH"/>
              <w:rPr>
                <w:rFonts w:cs="Arial"/>
              </w:rPr>
            </w:pPr>
            <w:proofErr w:type="spellStart"/>
            <w:r>
              <w:rPr>
                <w:rFonts w:cs="Arial"/>
              </w:rPr>
              <w:t>T</w:t>
            </w:r>
            <w:r>
              <w:rPr>
                <w:rFonts w:cs="Arial"/>
                <w:vertAlign w:val="subscript"/>
              </w:rPr>
              <w:t>e_NTN</w:t>
            </w:r>
            <w:proofErr w:type="spellEnd"/>
          </w:p>
        </w:tc>
      </w:tr>
      <w:tr w:rsidR="00586A03" w:rsidTr="0077133F">
        <w:trPr>
          <w:cantSplit/>
          <w:trHeight w:val="231"/>
          <w:jc w:val="center"/>
        </w:trPr>
        <w:tc>
          <w:tcPr>
            <w:tcW w:w="1035" w:type="pct"/>
            <w:vMerge w:val="restart"/>
            <w:tcBorders>
              <w:left w:val="single" w:sz="4" w:space="0" w:color="auto"/>
              <w:right w:val="single" w:sz="4" w:space="0" w:color="auto"/>
            </w:tcBorders>
            <w:vAlign w:val="center"/>
          </w:tcPr>
          <w:p w:rsidR="00586A03" w:rsidRPr="0077133F" w:rsidRDefault="00586A03" w:rsidP="00942A03">
            <w:pPr>
              <w:pStyle w:val="TAH"/>
              <w:rPr>
                <w:rFonts w:eastAsiaTheme="minorEastAsia" w:cs="Arial"/>
                <w:b w:val="0"/>
                <w:bCs/>
                <w:lang w:eastAsia="zh-CN"/>
              </w:rPr>
            </w:pPr>
            <w:r>
              <w:rPr>
                <w:rFonts w:eastAsiaTheme="minorEastAsia" w:cs="Arial"/>
                <w:b w:val="0"/>
                <w:bCs/>
                <w:lang w:eastAsia="zh-CN"/>
              </w:rPr>
              <w:t>2-1</w:t>
            </w:r>
          </w:p>
        </w:tc>
        <w:tc>
          <w:tcPr>
            <w:tcW w:w="1244" w:type="pct"/>
            <w:tcBorders>
              <w:left w:val="single" w:sz="4" w:space="0" w:color="auto"/>
              <w:bottom w:val="single" w:sz="4" w:space="0" w:color="auto"/>
              <w:right w:val="single" w:sz="4" w:space="0" w:color="auto"/>
            </w:tcBorders>
            <w:vAlign w:val="center"/>
          </w:tcPr>
          <w:p w:rsidR="00586A03" w:rsidRPr="0077133F" w:rsidRDefault="00586A03" w:rsidP="00942A03">
            <w:pPr>
              <w:pStyle w:val="TAH"/>
              <w:rPr>
                <w:rFonts w:eastAsiaTheme="minorEastAsia" w:cs="Arial"/>
                <w:b w:val="0"/>
                <w:bCs/>
                <w:lang w:eastAsia="zh-CN"/>
              </w:rPr>
            </w:pPr>
            <w:r>
              <w:rPr>
                <w:rFonts w:eastAsiaTheme="minorEastAsia" w:cs="Arial" w:hint="eastAsia"/>
                <w:b w:val="0"/>
                <w:bCs/>
                <w:lang w:eastAsia="zh-CN"/>
              </w:rPr>
              <w:t>1</w:t>
            </w:r>
            <w:r>
              <w:rPr>
                <w:rFonts w:eastAsiaTheme="minorEastAsia" w:cs="Arial"/>
                <w:b w:val="0"/>
                <w:bCs/>
                <w:lang w:eastAsia="zh-CN"/>
              </w:rPr>
              <w:t>20</w:t>
            </w:r>
          </w:p>
        </w:tc>
        <w:tc>
          <w:tcPr>
            <w:tcW w:w="1244" w:type="pct"/>
            <w:tcBorders>
              <w:top w:val="single" w:sz="4" w:space="0" w:color="auto"/>
              <w:left w:val="single" w:sz="4" w:space="0" w:color="auto"/>
              <w:right w:val="single" w:sz="4" w:space="0" w:color="auto"/>
            </w:tcBorders>
          </w:tcPr>
          <w:p w:rsidR="00586A03" w:rsidRDefault="00586A03" w:rsidP="00942A03">
            <w:pPr>
              <w:pStyle w:val="TAH"/>
              <w:rPr>
                <w:rFonts w:eastAsia="宋体" w:cs="Arial"/>
                <w:b w:val="0"/>
                <w:bCs/>
                <w:lang w:val="en-US" w:eastAsia="zh-CN"/>
              </w:rPr>
            </w:pPr>
            <w:r>
              <w:rPr>
                <w:rFonts w:cs="Arial"/>
                <w:b w:val="0"/>
                <w:bCs/>
              </w:rPr>
              <w:t>120</w:t>
            </w:r>
            <w:r>
              <w:rPr>
                <w:rFonts w:eastAsia="宋体" w:cs="Arial" w:hint="eastAsia"/>
                <w:b w:val="0"/>
                <w:bCs/>
                <w:lang w:val="en-US" w:eastAsia="zh-CN"/>
              </w:rPr>
              <w:t>(NCP)</w:t>
            </w:r>
          </w:p>
        </w:tc>
        <w:tc>
          <w:tcPr>
            <w:tcW w:w="1477" w:type="pct"/>
            <w:tcBorders>
              <w:top w:val="single" w:sz="4" w:space="0" w:color="auto"/>
              <w:left w:val="single" w:sz="4" w:space="0" w:color="auto"/>
              <w:right w:val="single" w:sz="4" w:space="0" w:color="auto"/>
            </w:tcBorders>
          </w:tcPr>
          <w:p w:rsidR="00586A03" w:rsidRDefault="00586A03" w:rsidP="00942A03">
            <w:pPr>
              <w:pStyle w:val="TAH"/>
              <w:rPr>
                <w:rFonts w:eastAsia="宋体" w:cs="Arial"/>
                <w:b w:val="0"/>
                <w:bCs/>
                <w:lang w:val="en-US" w:eastAsia="zh-CN"/>
              </w:rPr>
            </w:pPr>
            <w:r>
              <w:rPr>
                <w:rFonts w:eastAsia="宋体" w:cs="Arial"/>
                <w:b w:val="0"/>
                <w:bCs/>
                <w:lang w:val="en-US" w:eastAsia="zh-CN"/>
              </w:rPr>
              <w:t>N</w:t>
            </w:r>
            <w:r w:rsidR="0077715A">
              <w:rPr>
                <w:rFonts w:eastAsia="宋体" w:cs="Arial"/>
                <w:b w:val="0"/>
                <w:bCs/>
                <w:lang w:val="en-US" w:eastAsia="zh-CN"/>
              </w:rPr>
              <w:t>/</w:t>
            </w:r>
            <w:r>
              <w:rPr>
                <w:rFonts w:eastAsia="宋体" w:cs="Arial"/>
                <w:b w:val="0"/>
                <w:bCs/>
                <w:lang w:val="en-US" w:eastAsia="zh-CN"/>
              </w:rPr>
              <w:t>A</w:t>
            </w:r>
          </w:p>
        </w:tc>
      </w:tr>
      <w:tr w:rsidR="00586A03" w:rsidTr="0077133F">
        <w:trPr>
          <w:cantSplit/>
          <w:trHeight w:val="103"/>
          <w:jc w:val="center"/>
        </w:trPr>
        <w:tc>
          <w:tcPr>
            <w:tcW w:w="1035" w:type="pct"/>
            <w:vMerge/>
            <w:tcBorders>
              <w:left w:val="single" w:sz="4" w:space="0" w:color="auto"/>
              <w:bottom w:val="single" w:sz="4" w:space="0" w:color="auto"/>
              <w:right w:val="single" w:sz="4" w:space="0" w:color="auto"/>
            </w:tcBorders>
          </w:tcPr>
          <w:p w:rsidR="00586A03" w:rsidRDefault="00586A03" w:rsidP="00942A03">
            <w:pPr>
              <w:pStyle w:val="TAH"/>
              <w:rPr>
                <w:rFonts w:cs="Arial"/>
                <w:b w:val="0"/>
                <w:bCs/>
              </w:rPr>
            </w:pPr>
          </w:p>
        </w:tc>
        <w:tc>
          <w:tcPr>
            <w:tcW w:w="1244" w:type="pct"/>
            <w:tcBorders>
              <w:left w:val="single" w:sz="4" w:space="0" w:color="auto"/>
              <w:bottom w:val="single" w:sz="4" w:space="0" w:color="auto"/>
              <w:right w:val="single" w:sz="4" w:space="0" w:color="auto"/>
            </w:tcBorders>
          </w:tcPr>
          <w:p w:rsidR="00586A03" w:rsidRPr="0077133F" w:rsidRDefault="00586A03" w:rsidP="00942A03">
            <w:pPr>
              <w:pStyle w:val="TAH"/>
              <w:rPr>
                <w:rFonts w:eastAsiaTheme="minorEastAsia" w:cs="Arial"/>
                <w:b w:val="0"/>
                <w:bCs/>
                <w:lang w:eastAsia="zh-CN"/>
              </w:rPr>
            </w:pPr>
            <w:r>
              <w:rPr>
                <w:rFonts w:eastAsiaTheme="minorEastAsia" w:cs="Arial" w:hint="eastAsia"/>
                <w:b w:val="0"/>
                <w:bCs/>
                <w:lang w:eastAsia="zh-CN"/>
              </w:rPr>
              <w:t>2</w:t>
            </w:r>
            <w:r>
              <w:rPr>
                <w:rFonts w:eastAsiaTheme="minorEastAsia" w:cs="Arial"/>
                <w:b w:val="0"/>
                <w:bCs/>
                <w:lang w:eastAsia="zh-CN"/>
              </w:rPr>
              <w:t>40</w:t>
            </w:r>
          </w:p>
        </w:tc>
        <w:tc>
          <w:tcPr>
            <w:tcW w:w="1244" w:type="pct"/>
            <w:tcBorders>
              <w:top w:val="single" w:sz="4" w:space="0" w:color="auto"/>
              <w:left w:val="single" w:sz="4" w:space="0" w:color="auto"/>
              <w:bottom w:val="single" w:sz="4" w:space="0" w:color="auto"/>
              <w:right w:val="single" w:sz="4" w:space="0" w:color="auto"/>
            </w:tcBorders>
          </w:tcPr>
          <w:p w:rsidR="00586A03" w:rsidRDefault="00586A03" w:rsidP="00942A03">
            <w:pPr>
              <w:pStyle w:val="TAH"/>
              <w:rPr>
                <w:rFonts w:eastAsia="宋体" w:cs="Arial"/>
                <w:b w:val="0"/>
                <w:bCs/>
                <w:lang w:val="en-US" w:eastAsia="zh-CN"/>
              </w:rPr>
            </w:pPr>
            <w:r>
              <w:rPr>
                <w:rFonts w:cs="Arial"/>
                <w:b w:val="0"/>
                <w:bCs/>
              </w:rPr>
              <w:t>120</w:t>
            </w:r>
            <w:r>
              <w:rPr>
                <w:rFonts w:eastAsia="宋体" w:cs="Arial" w:hint="eastAsia"/>
                <w:b w:val="0"/>
                <w:bCs/>
                <w:lang w:val="en-US" w:eastAsia="zh-CN"/>
              </w:rPr>
              <w:t>(NCP)</w:t>
            </w:r>
          </w:p>
        </w:tc>
        <w:tc>
          <w:tcPr>
            <w:tcW w:w="1477" w:type="pct"/>
            <w:tcBorders>
              <w:top w:val="single" w:sz="4" w:space="0" w:color="auto"/>
              <w:left w:val="single" w:sz="4" w:space="0" w:color="auto"/>
              <w:right w:val="single" w:sz="4" w:space="0" w:color="auto"/>
            </w:tcBorders>
          </w:tcPr>
          <w:p w:rsidR="00586A03" w:rsidRDefault="00586A03" w:rsidP="00942A03">
            <w:pPr>
              <w:pStyle w:val="TAH"/>
              <w:rPr>
                <w:rFonts w:eastAsia="宋体" w:cs="Arial"/>
                <w:b w:val="0"/>
                <w:bCs/>
                <w:lang w:val="en-US" w:eastAsia="zh-CN"/>
              </w:rPr>
            </w:pPr>
            <w:r>
              <w:rPr>
                <w:rFonts w:eastAsia="宋体" w:cs="Arial"/>
                <w:b w:val="0"/>
                <w:bCs/>
                <w:lang w:val="en-US" w:eastAsia="zh-CN"/>
              </w:rPr>
              <w:t>N</w:t>
            </w:r>
            <w:r w:rsidR="0077715A">
              <w:rPr>
                <w:rFonts w:eastAsia="宋体" w:cs="Arial"/>
                <w:b w:val="0"/>
                <w:bCs/>
                <w:lang w:val="en-US" w:eastAsia="zh-CN"/>
              </w:rPr>
              <w:t>/</w:t>
            </w:r>
            <w:r>
              <w:rPr>
                <w:rFonts w:eastAsia="宋体" w:cs="Arial"/>
                <w:b w:val="0"/>
                <w:bCs/>
                <w:lang w:val="en-US" w:eastAsia="zh-CN"/>
              </w:rPr>
              <w:t>A</w:t>
            </w:r>
          </w:p>
        </w:tc>
      </w:tr>
    </w:tbl>
    <w:p w:rsidR="005003C7" w:rsidRDefault="00586A03" w:rsidP="00586A03">
      <w:pPr>
        <w:pStyle w:val="31"/>
        <w:spacing w:line="360" w:lineRule="auto"/>
        <w:jc w:val="both"/>
        <w:rPr>
          <w:rFonts w:eastAsia="宋体"/>
          <w:b/>
          <w:bCs/>
          <w:kern w:val="0"/>
          <w:sz w:val="22"/>
        </w:rPr>
      </w:pPr>
      <w:r>
        <w:rPr>
          <w:rFonts w:eastAsia="宋体" w:hint="eastAsia"/>
          <w:b/>
          <w:bCs/>
          <w:kern w:val="0"/>
          <w:sz w:val="22"/>
        </w:rPr>
        <w:t xml:space="preserve">The table can be regarded as the minimum requirements, RAN4 shall define the </w:t>
      </w:r>
      <w:proofErr w:type="gramStart"/>
      <w:r>
        <w:rPr>
          <w:rFonts w:eastAsia="宋体" w:hint="eastAsia"/>
          <w:b/>
          <w:bCs/>
          <w:kern w:val="0"/>
          <w:sz w:val="22"/>
        </w:rPr>
        <w:t>concrete  requirements</w:t>
      </w:r>
      <w:proofErr w:type="gramEnd"/>
      <w:r>
        <w:rPr>
          <w:rFonts w:eastAsia="宋体" w:hint="eastAsia"/>
          <w:b/>
          <w:bCs/>
          <w:kern w:val="0"/>
          <w:sz w:val="22"/>
        </w:rPr>
        <w:t xml:space="preserve"> under different cases.</w:t>
      </w:r>
    </w:p>
    <w:p w:rsidR="005C2C0B" w:rsidRPr="00CD53EF" w:rsidRDefault="005C2C0B" w:rsidP="005C2C0B">
      <w:pPr>
        <w:pStyle w:val="31"/>
        <w:spacing w:line="360" w:lineRule="auto"/>
        <w:jc w:val="both"/>
        <w:rPr>
          <w:rFonts w:eastAsia="宋体"/>
          <w:b/>
          <w:bCs/>
          <w:kern w:val="0"/>
          <w:sz w:val="22"/>
        </w:rPr>
      </w:pPr>
      <w:r>
        <w:rPr>
          <w:b/>
          <w:bCs/>
          <w:sz w:val="22"/>
          <w:szCs w:val="22"/>
        </w:rPr>
        <w:t>Observation 4:</w:t>
      </w:r>
      <w:r w:rsidRPr="00CD53EF">
        <w:rPr>
          <w:rFonts w:eastAsia="宋体"/>
          <w:b/>
          <w:bCs/>
          <w:kern w:val="0"/>
          <w:sz w:val="22"/>
        </w:rPr>
        <w:t xml:space="preserve"> Even if the total budget does not exceed the 0.5CP length the Te requirements shall not be defined for UL SCS=120kHz.</w:t>
      </w:r>
    </w:p>
    <w:p w:rsidR="005C2C0B" w:rsidRPr="00CD53EF" w:rsidRDefault="005C2C0B" w:rsidP="005C2C0B">
      <w:pPr>
        <w:pStyle w:val="31"/>
        <w:spacing w:line="360" w:lineRule="auto"/>
        <w:jc w:val="both"/>
        <w:rPr>
          <w:rFonts w:eastAsia="宋体"/>
          <w:b/>
          <w:bCs/>
          <w:kern w:val="0"/>
          <w:sz w:val="22"/>
        </w:rPr>
      </w:pPr>
      <w:r w:rsidRPr="00CD53EF">
        <w:rPr>
          <w:rFonts w:eastAsia="宋体"/>
          <w:b/>
          <w:bCs/>
          <w:kern w:val="0"/>
          <w:sz w:val="22"/>
        </w:rPr>
        <w:t>Proposal 2: If the total budget does not exceed the one CP length the Te requirements shall be defined for UL SCS=120kHz as below:</w:t>
      </w:r>
    </w:p>
    <w:tbl>
      <w:tblPr>
        <w:tblW w:w="31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523"/>
        <w:gridCol w:w="1523"/>
        <w:gridCol w:w="1809"/>
      </w:tblGrid>
      <w:tr w:rsidR="005C2C0B" w:rsidTr="00942A03">
        <w:trPr>
          <w:cantSplit/>
          <w:jc w:val="center"/>
        </w:trPr>
        <w:tc>
          <w:tcPr>
            <w:tcW w:w="1035" w:type="pct"/>
            <w:tcBorders>
              <w:top w:val="single" w:sz="4" w:space="0" w:color="auto"/>
              <w:left w:val="single" w:sz="4" w:space="0" w:color="auto"/>
              <w:bottom w:val="single" w:sz="4" w:space="0" w:color="auto"/>
              <w:right w:val="single" w:sz="4" w:space="0" w:color="auto"/>
            </w:tcBorders>
            <w:vAlign w:val="center"/>
          </w:tcPr>
          <w:p w:rsidR="005C2C0B" w:rsidRDefault="005C2C0B" w:rsidP="00942A03">
            <w:pPr>
              <w:pStyle w:val="TAH"/>
              <w:rPr>
                <w:rFonts w:cs="Arial"/>
              </w:rPr>
            </w:pPr>
            <w:r>
              <w:rPr>
                <w:rFonts w:cs="Arial"/>
              </w:rPr>
              <w:t>Frequency Range</w:t>
            </w:r>
          </w:p>
        </w:tc>
        <w:tc>
          <w:tcPr>
            <w:tcW w:w="1244" w:type="pct"/>
            <w:tcBorders>
              <w:top w:val="single" w:sz="4" w:space="0" w:color="auto"/>
              <w:left w:val="single" w:sz="4" w:space="0" w:color="auto"/>
              <w:bottom w:val="single" w:sz="4" w:space="0" w:color="auto"/>
              <w:right w:val="single" w:sz="4" w:space="0" w:color="auto"/>
            </w:tcBorders>
            <w:vAlign w:val="center"/>
          </w:tcPr>
          <w:p w:rsidR="005C2C0B" w:rsidRDefault="005C2C0B" w:rsidP="00942A03">
            <w:pPr>
              <w:pStyle w:val="TAH"/>
              <w:rPr>
                <w:rFonts w:cs="Arial"/>
              </w:rPr>
            </w:pPr>
            <w:r>
              <w:rPr>
                <w:rFonts w:cs="Arial"/>
              </w:rPr>
              <w:t>SCS of SSB signals (kHz)</w:t>
            </w:r>
          </w:p>
        </w:tc>
        <w:tc>
          <w:tcPr>
            <w:tcW w:w="1244" w:type="pct"/>
            <w:tcBorders>
              <w:top w:val="single" w:sz="4" w:space="0" w:color="auto"/>
              <w:left w:val="single" w:sz="4" w:space="0" w:color="auto"/>
              <w:bottom w:val="single" w:sz="4" w:space="0" w:color="auto"/>
              <w:right w:val="single" w:sz="4" w:space="0" w:color="auto"/>
            </w:tcBorders>
            <w:vAlign w:val="center"/>
          </w:tcPr>
          <w:p w:rsidR="005C2C0B" w:rsidRDefault="005C2C0B" w:rsidP="00942A03">
            <w:pPr>
              <w:pStyle w:val="TAH"/>
              <w:rPr>
                <w:rFonts w:cs="Arial"/>
              </w:rPr>
            </w:pPr>
            <w:r>
              <w:rPr>
                <w:rFonts w:cs="Arial"/>
              </w:rPr>
              <w:t>SCS of uplink signals (kHz)</w:t>
            </w:r>
          </w:p>
        </w:tc>
        <w:tc>
          <w:tcPr>
            <w:tcW w:w="1477" w:type="pct"/>
            <w:tcBorders>
              <w:top w:val="single" w:sz="4" w:space="0" w:color="auto"/>
              <w:left w:val="single" w:sz="4" w:space="0" w:color="auto"/>
              <w:bottom w:val="single" w:sz="4" w:space="0" w:color="auto"/>
              <w:right w:val="single" w:sz="4" w:space="0" w:color="auto"/>
            </w:tcBorders>
            <w:vAlign w:val="center"/>
          </w:tcPr>
          <w:p w:rsidR="005C2C0B" w:rsidRDefault="005C2C0B" w:rsidP="00942A03">
            <w:pPr>
              <w:pStyle w:val="TAH"/>
              <w:rPr>
                <w:rFonts w:cs="Arial"/>
              </w:rPr>
            </w:pPr>
            <w:proofErr w:type="spellStart"/>
            <w:r>
              <w:rPr>
                <w:rFonts w:cs="Arial"/>
              </w:rPr>
              <w:t>T</w:t>
            </w:r>
            <w:r>
              <w:rPr>
                <w:rFonts w:cs="Arial"/>
                <w:vertAlign w:val="subscript"/>
              </w:rPr>
              <w:t>e_NTN</w:t>
            </w:r>
            <w:proofErr w:type="spellEnd"/>
          </w:p>
        </w:tc>
      </w:tr>
      <w:tr w:rsidR="005C2C0B" w:rsidTr="00942A03">
        <w:trPr>
          <w:cantSplit/>
          <w:trHeight w:val="231"/>
          <w:jc w:val="center"/>
        </w:trPr>
        <w:tc>
          <w:tcPr>
            <w:tcW w:w="1035" w:type="pct"/>
            <w:vMerge w:val="restart"/>
            <w:tcBorders>
              <w:left w:val="single" w:sz="4" w:space="0" w:color="auto"/>
              <w:right w:val="single" w:sz="4" w:space="0" w:color="auto"/>
            </w:tcBorders>
            <w:vAlign w:val="center"/>
          </w:tcPr>
          <w:p w:rsidR="005C2C0B" w:rsidRPr="0077133F" w:rsidRDefault="005C2C0B" w:rsidP="00942A03">
            <w:pPr>
              <w:pStyle w:val="TAH"/>
              <w:rPr>
                <w:rFonts w:eastAsiaTheme="minorEastAsia" w:cs="Arial"/>
                <w:b w:val="0"/>
                <w:bCs/>
                <w:lang w:eastAsia="zh-CN"/>
              </w:rPr>
            </w:pPr>
            <w:r>
              <w:rPr>
                <w:rFonts w:eastAsiaTheme="minorEastAsia" w:cs="Arial"/>
                <w:b w:val="0"/>
                <w:bCs/>
                <w:lang w:eastAsia="zh-CN"/>
              </w:rPr>
              <w:t>2</w:t>
            </w:r>
          </w:p>
        </w:tc>
        <w:tc>
          <w:tcPr>
            <w:tcW w:w="1244" w:type="pct"/>
            <w:tcBorders>
              <w:left w:val="single" w:sz="4" w:space="0" w:color="auto"/>
              <w:bottom w:val="single" w:sz="4" w:space="0" w:color="auto"/>
              <w:right w:val="single" w:sz="4" w:space="0" w:color="auto"/>
            </w:tcBorders>
            <w:vAlign w:val="center"/>
          </w:tcPr>
          <w:p w:rsidR="005C2C0B" w:rsidRPr="0077133F" w:rsidRDefault="005C2C0B" w:rsidP="00942A03">
            <w:pPr>
              <w:pStyle w:val="TAH"/>
              <w:rPr>
                <w:rFonts w:eastAsiaTheme="minorEastAsia" w:cs="Arial"/>
                <w:b w:val="0"/>
                <w:bCs/>
                <w:lang w:eastAsia="zh-CN"/>
              </w:rPr>
            </w:pPr>
            <w:r>
              <w:rPr>
                <w:rFonts w:eastAsiaTheme="minorEastAsia" w:cs="Arial" w:hint="eastAsia"/>
                <w:b w:val="0"/>
                <w:bCs/>
                <w:lang w:eastAsia="zh-CN"/>
              </w:rPr>
              <w:t>1</w:t>
            </w:r>
            <w:r>
              <w:rPr>
                <w:rFonts w:eastAsiaTheme="minorEastAsia" w:cs="Arial"/>
                <w:b w:val="0"/>
                <w:bCs/>
                <w:lang w:eastAsia="zh-CN"/>
              </w:rPr>
              <w:t>20</w:t>
            </w:r>
          </w:p>
        </w:tc>
        <w:tc>
          <w:tcPr>
            <w:tcW w:w="1244" w:type="pct"/>
            <w:tcBorders>
              <w:top w:val="single" w:sz="4" w:space="0" w:color="auto"/>
              <w:left w:val="single" w:sz="4" w:space="0" w:color="auto"/>
              <w:right w:val="single" w:sz="4" w:space="0" w:color="auto"/>
            </w:tcBorders>
          </w:tcPr>
          <w:p w:rsidR="005C2C0B" w:rsidRDefault="005C2C0B" w:rsidP="00942A03">
            <w:pPr>
              <w:pStyle w:val="TAH"/>
              <w:rPr>
                <w:rFonts w:eastAsia="宋体" w:cs="Arial"/>
                <w:b w:val="0"/>
                <w:bCs/>
                <w:lang w:val="en-US" w:eastAsia="zh-CN"/>
              </w:rPr>
            </w:pPr>
            <w:r>
              <w:rPr>
                <w:rFonts w:cs="Arial"/>
                <w:b w:val="0"/>
                <w:bCs/>
              </w:rPr>
              <w:t>120</w:t>
            </w:r>
            <w:r>
              <w:rPr>
                <w:rFonts w:eastAsia="宋体" w:cs="Arial" w:hint="eastAsia"/>
                <w:b w:val="0"/>
                <w:bCs/>
                <w:lang w:val="en-US" w:eastAsia="zh-CN"/>
              </w:rPr>
              <w:t>(NCP)</w:t>
            </w:r>
          </w:p>
        </w:tc>
        <w:tc>
          <w:tcPr>
            <w:tcW w:w="1477" w:type="pct"/>
            <w:tcBorders>
              <w:top w:val="single" w:sz="4" w:space="0" w:color="auto"/>
              <w:left w:val="single" w:sz="4" w:space="0" w:color="auto"/>
              <w:right w:val="single" w:sz="4" w:space="0" w:color="auto"/>
            </w:tcBorders>
          </w:tcPr>
          <w:p w:rsidR="005C2C0B" w:rsidRDefault="005C2C0B" w:rsidP="00942A03">
            <w:pPr>
              <w:pStyle w:val="TAH"/>
              <w:rPr>
                <w:rFonts w:eastAsia="宋体" w:cs="Arial"/>
                <w:b w:val="0"/>
                <w:bCs/>
                <w:lang w:val="en-US" w:eastAsia="zh-CN"/>
              </w:rPr>
            </w:pPr>
            <w:r>
              <w:rPr>
                <w:rFonts w:eastAsia="宋体" w:cs="Arial"/>
                <w:b w:val="0"/>
                <w:bCs/>
                <w:lang w:val="en-US" w:eastAsia="zh-CN"/>
              </w:rPr>
              <w:t>9Ts</w:t>
            </w:r>
          </w:p>
        </w:tc>
      </w:tr>
      <w:tr w:rsidR="005C2C0B" w:rsidTr="00942A03">
        <w:trPr>
          <w:cantSplit/>
          <w:trHeight w:val="103"/>
          <w:jc w:val="center"/>
        </w:trPr>
        <w:tc>
          <w:tcPr>
            <w:tcW w:w="1035" w:type="pct"/>
            <w:vMerge/>
            <w:tcBorders>
              <w:left w:val="single" w:sz="4" w:space="0" w:color="auto"/>
              <w:bottom w:val="single" w:sz="4" w:space="0" w:color="auto"/>
              <w:right w:val="single" w:sz="4" w:space="0" w:color="auto"/>
            </w:tcBorders>
          </w:tcPr>
          <w:p w:rsidR="005C2C0B" w:rsidRDefault="005C2C0B" w:rsidP="00942A03">
            <w:pPr>
              <w:pStyle w:val="TAH"/>
              <w:rPr>
                <w:rFonts w:cs="Arial"/>
                <w:b w:val="0"/>
                <w:bCs/>
              </w:rPr>
            </w:pPr>
          </w:p>
        </w:tc>
        <w:tc>
          <w:tcPr>
            <w:tcW w:w="1244" w:type="pct"/>
            <w:tcBorders>
              <w:left w:val="single" w:sz="4" w:space="0" w:color="auto"/>
              <w:bottom w:val="single" w:sz="4" w:space="0" w:color="auto"/>
              <w:right w:val="single" w:sz="4" w:space="0" w:color="auto"/>
            </w:tcBorders>
          </w:tcPr>
          <w:p w:rsidR="005C2C0B" w:rsidRPr="0077133F" w:rsidRDefault="005C2C0B" w:rsidP="00942A03">
            <w:pPr>
              <w:pStyle w:val="TAH"/>
              <w:rPr>
                <w:rFonts w:eastAsiaTheme="minorEastAsia" w:cs="Arial"/>
                <w:b w:val="0"/>
                <w:bCs/>
                <w:lang w:eastAsia="zh-CN"/>
              </w:rPr>
            </w:pPr>
            <w:r>
              <w:rPr>
                <w:rFonts w:eastAsiaTheme="minorEastAsia" w:cs="Arial" w:hint="eastAsia"/>
                <w:b w:val="0"/>
                <w:bCs/>
                <w:lang w:eastAsia="zh-CN"/>
              </w:rPr>
              <w:t>2</w:t>
            </w:r>
            <w:r>
              <w:rPr>
                <w:rFonts w:eastAsiaTheme="minorEastAsia" w:cs="Arial"/>
                <w:b w:val="0"/>
                <w:bCs/>
                <w:lang w:eastAsia="zh-CN"/>
              </w:rPr>
              <w:t>40</w:t>
            </w:r>
          </w:p>
        </w:tc>
        <w:tc>
          <w:tcPr>
            <w:tcW w:w="1244" w:type="pct"/>
            <w:tcBorders>
              <w:top w:val="single" w:sz="4" w:space="0" w:color="auto"/>
              <w:left w:val="single" w:sz="4" w:space="0" w:color="auto"/>
              <w:bottom w:val="single" w:sz="4" w:space="0" w:color="auto"/>
              <w:right w:val="single" w:sz="4" w:space="0" w:color="auto"/>
            </w:tcBorders>
          </w:tcPr>
          <w:p w:rsidR="005C2C0B" w:rsidRDefault="005C2C0B" w:rsidP="00942A03">
            <w:pPr>
              <w:pStyle w:val="TAH"/>
              <w:rPr>
                <w:rFonts w:eastAsia="宋体" w:cs="Arial"/>
                <w:b w:val="0"/>
                <w:bCs/>
                <w:lang w:val="en-US" w:eastAsia="zh-CN"/>
              </w:rPr>
            </w:pPr>
            <w:r>
              <w:rPr>
                <w:rFonts w:cs="Arial"/>
                <w:b w:val="0"/>
                <w:bCs/>
              </w:rPr>
              <w:t>120</w:t>
            </w:r>
            <w:r>
              <w:rPr>
                <w:rFonts w:eastAsia="宋体" w:cs="Arial" w:hint="eastAsia"/>
                <w:b w:val="0"/>
                <w:bCs/>
                <w:lang w:val="en-US" w:eastAsia="zh-CN"/>
              </w:rPr>
              <w:t>(NCP)</w:t>
            </w:r>
          </w:p>
        </w:tc>
        <w:tc>
          <w:tcPr>
            <w:tcW w:w="1477" w:type="pct"/>
            <w:tcBorders>
              <w:top w:val="single" w:sz="4" w:space="0" w:color="auto"/>
              <w:left w:val="single" w:sz="4" w:space="0" w:color="auto"/>
              <w:right w:val="single" w:sz="4" w:space="0" w:color="auto"/>
            </w:tcBorders>
          </w:tcPr>
          <w:p w:rsidR="005C2C0B" w:rsidRDefault="005C2C0B" w:rsidP="00942A03">
            <w:pPr>
              <w:pStyle w:val="TAH"/>
              <w:rPr>
                <w:rFonts w:eastAsia="宋体" w:cs="Arial"/>
                <w:b w:val="0"/>
                <w:bCs/>
                <w:lang w:val="en-US" w:eastAsia="zh-CN"/>
              </w:rPr>
            </w:pPr>
            <w:r>
              <w:rPr>
                <w:rFonts w:eastAsia="宋体" w:cs="Arial"/>
                <w:b w:val="0"/>
                <w:bCs/>
                <w:lang w:val="en-US" w:eastAsia="zh-CN"/>
              </w:rPr>
              <w:t>9Ts</w:t>
            </w:r>
          </w:p>
        </w:tc>
      </w:tr>
    </w:tbl>
    <w:p w:rsidR="005C2C0B" w:rsidRPr="00586A03" w:rsidRDefault="005C2C0B" w:rsidP="00586A03">
      <w:pPr>
        <w:pStyle w:val="31"/>
        <w:spacing w:line="360" w:lineRule="auto"/>
        <w:jc w:val="both"/>
        <w:rPr>
          <w:b/>
          <w:bCs/>
          <w:sz w:val="22"/>
          <w:szCs w:val="22"/>
        </w:rPr>
      </w:pPr>
    </w:p>
    <w:p w:rsidR="005003C7" w:rsidRDefault="00204F37">
      <w:pPr>
        <w:pStyle w:val="RAN4H1"/>
        <w:numPr>
          <w:ilvl w:val="0"/>
          <w:numId w:val="0"/>
        </w:numPr>
        <w:ind w:left="360" w:hanging="360"/>
        <w:rPr>
          <w:lang w:val="en-US"/>
        </w:rPr>
      </w:pPr>
      <w:r>
        <w:rPr>
          <w:lang w:val="en-US"/>
        </w:rPr>
        <w:t>References</w:t>
      </w:r>
    </w:p>
    <w:p w:rsidR="005003C7" w:rsidRDefault="00204F37">
      <w:pPr>
        <w:rPr>
          <w:lang w:val="en-US"/>
        </w:rPr>
      </w:pPr>
      <w:bookmarkStart w:id="2" w:name="_Ref114500673"/>
      <w:bookmarkEnd w:id="2"/>
      <w:r>
        <w:rPr>
          <w:rFonts w:eastAsia="宋体" w:hint="eastAsia"/>
          <w:lang w:val="en-US" w:eastAsia="zh-CN"/>
        </w:rPr>
        <w:t xml:space="preserve">[1] </w:t>
      </w:r>
      <w:r>
        <w:t>RP-2</w:t>
      </w:r>
      <w:r>
        <w:rPr>
          <w:rFonts w:hint="eastAsia"/>
          <w:lang w:val="en-US" w:eastAsia="zh-CN"/>
        </w:rPr>
        <w:t>23534</w:t>
      </w:r>
      <w:r>
        <w:rPr>
          <w:rFonts w:hint="eastAsia"/>
          <w:lang w:eastAsia="zh-CN"/>
        </w:rPr>
        <w:t>,</w:t>
      </w:r>
      <w:r>
        <w:rPr>
          <w:lang w:eastAsia="zh-CN"/>
        </w:rPr>
        <w:t xml:space="preserve"> </w:t>
      </w:r>
      <w:r>
        <w:rPr>
          <w:rFonts w:hint="eastAsia"/>
          <w:lang w:eastAsia="zh-CN"/>
        </w:rPr>
        <w:t>Revised WID: NR NTN (Non-Terrestrial Networks) enhancements</w:t>
      </w:r>
      <w:r>
        <w:rPr>
          <w:lang w:eastAsia="zh-CN"/>
        </w:rPr>
        <w:t xml:space="preserve">, </w:t>
      </w:r>
      <w:r>
        <w:rPr>
          <w:rFonts w:hint="eastAsia"/>
          <w:lang w:val="en-US" w:eastAsia="zh-CN"/>
        </w:rPr>
        <w:t>Thales.</w:t>
      </w:r>
    </w:p>
    <w:p w:rsidR="005003C7" w:rsidRDefault="00204F37">
      <w:pPr>
        <w:rPr>
          <w:lang w:val="en-US" w:eastAsia="zh-CN"/>
        </w:rPr>
      </w:pPr>
      <w:r>
        <w:rPr>
          <w:rFonts w:hint="eastAsia"/>
          <w:lang w:val="en-US" w:eastAsia="zh-CN"/>
        </w:rPr>
        <w:t xml:space="preserve">[2] R4-2317374, RRM WF and CR work split for </w:t>
      </w:r>
      <w:proofErr w:type="spellStart"/>
      <w:r>
        <w:rPr>
          <w:rFonts w:hint="eastAsia"/>
          <w:lang w:val="en-US" w:eastAsia="zh-CN"/>
        </w:rPr>
        <w:t>NR_NTN_enh</w:t>
      </w:r>
      <w:proofErr w:type="spellEnd"/>
      <w:r>
        <w:rPr>
          <w:rFonts w:hint="eastAsia"/>
          <w:lang w:val="en-US" w:eastAsia="zh-CN"/>
        </w:rPr>
        <w:t>, Qualcomm.</w:t>
      </w:r>
    </w:p>
    <w:p w:rsidR="005003C7" w:rsidRDefault="005003C7">
      <w:pPr>
        <w:rPr>
          <w:lang w:val="en-US" w:eastAsia="zh-CN"/>
        </w:rPr>
      </w:pPr>
    </w:p>
    <w:p w:rsidR="005003C7" w:rsidRDefault="005003C7">
      <w:pPr>
        <w:spacing w:line="360" w:lineRule="auto"/>
        <w:rPr>
          <w:rFonts w:eastAsia="宋体"/>
          <w:lang w:val="en-US" w:eastAsia="zh-CN"/>
        </w:rPr>
      </w:pPr>
    </w:p>
    <w:sectPr w:rsidR="005003C7">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FA7" w:rsidRDefault="00332FA7">
      <w:pPr>
        <w:spacing w:after="0"/>
      </w:pPr>
      <w:r>
        <w:separator/>
      </w:r>
    </w:p>
  </w:endnote>
  <w:endnote w:type="continuationSeparator" w:id="0">
    <w:p w:rsidR="00332FA7" w:rsidRDefault="00332F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3C7" w:rsidRDefault="00204F3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480D">
      <w:rPr>
        <w:rFonts w:ascii="Arial" w:hAnsi="Arial" w:cs="Arial"/>
        <w:b/>
        <w:noProof/>
        <w:sz w:val="18"/>
        <w:szCs w:val="18"/>
      </w:rPr>
      <w:t>6</w:t>
    </w:r>
    <w:r>
      <w:rPr>
        <w:rFonts w:ascii="Arial" w:hAnsi="Arial" w:cs="Arial"/>
        <w:b/>
        <w:sz w:val="18"/>
        <w:szCs w:val="18"/>
      </w:rPr>
      <w:fldChar w:fldCharType="end"/>
    </w:r>
  </w:p>
  <w:p w:rsidR="005003C7" w:rsidRDefault="005003C7">
    <w:pPr>
      <w:pStyle w:val="a9"/>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FA7" w:rsidRDefault="00332FA7">
      <w:pPr>
        <w:spacing w:after="0"/>
      </w:pPr>
      <w:r>
        <w:separator/>
      </w:r>
    </w:p>
  </w:footnote>
  <w:footnote w:type="continuationSeparator" w:id="0">
    <w:p w:rsidR="00332FA7" w:rsidRDefault="00332F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85.2pt;height:56.4pt" o:bullet="t">
        <v:imagedata r:id="rId1" o:title=""/>
      </v:shape>
    </w:pict>
  </w:numPicBullet>
  <w:abstractNum w:abstractNumId="0"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79EBD"/>
    <w:multiLevelType w:val="singleLevel"/>
    <w:tmpl w:val="0D379EBD"/>
    <w:lvl w:ilvl="0">
      <w:start w:val="1"/>
      <w:numFmt w:val="bullet"/>
      <w:lvlText w:val=""/>
      <w:lvlJc w:val="left"/>
      <w:pPr>
        <w:ind w:left="420" w:hanging="420"/>
      </w:pPr>
      <w:rPr>
        <w:rFonts w:ascii="Wingdings" w:hAnsi="Wingdings" w:hint="default"/>
      </w:rPr>
    </w:lvl>
  </w:abstractNum>
  <w:abstractNum w:abstractNumId="2" w15:restartNumberingAfterBreak="0">
    <w:nsid w:val="12AA3B83"/>
    <w:multiLevelType w:val="multilevel"/>
    <w:tmpl w:val="12AA3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5" w15:restartNumberingAfterBreak="0">
    <w:nsid w:val="5628156B"/>
    <w:multiLevelType w:val="multilevel"/>
    <w:tmpl w:val="5628156B"/>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8" w15:restartNumberingAfterBreak="0">
    <w:nsid w:val="78A93F85"/>
    <w:multiLevelType w:val="multilevel"/>
    <w:tmpl w:val="78A93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8"/>
  </w:num>
  <w:num w:numId="6">
    <w:abstractNumId w:val="7"/>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773"/>
    <w:rsid w:val="00033397"/>
    <w:rsid w:val="00040095"/>
    <w:rsid w:val="000455F6"/>
    <w:rsid w:val="00051834"/>
    <w:rsid w:val="00054A22"/>
    <w:rsid w:val="00056A26"/>
    <w:rsid w:val="00062023"/>
    <w:rsid w:val="000651BC"/>
    <w:rsid w:val="000655A6"/>
    <w:rsid w:val="00080512"/>
    <w:rsid w:val="000A3216"/>
    <w:rsid w:val="000C47C3"/>
    <w:rsid w:val="000D58AB"/>
    <w:rsid w:val="0011507D"/>
    <w:rsid w:val="00115BA9"/>
    <w:rsid w:val="00133525"/>
    <w:rsid w:val="00161310"/>
    <w:rsid w:val="00163818"/>
    <w:rsid w:val="00167FF6"/>
    <w:rsid w:val="001A4C42"/>
    <w:rsid w:val="001A7420"/>
    <w:rsid w:val="001B6637"/>
    <w:rsid w:val="001C21C3"/>
    <w:rsid w:val="001D02C2"/>
    <w:rsid w:val="001F0C1D"/>
    <w:rsid w:val="001F1132"/>
    <w:rsid w:val="001F168B"/>
    <w:rsid w:val="00204F37"/>
    <w:rsid w:val="0021140F"/>
    <w:rsid w:val="002347A2"/>
    <w:rsid w:val="002675F0"/>
    <w:rsid w:val="002840A1"/>
    <w:rsid w:val="0028418A"/>
    <w:rsid w:val="002B6339"/>
    <w:rsid w:val="002E00EE"/>
    <w:rsid w:val="003172DC"/>
    <w:rsid w:val="00332FA7"/>
    <w:rsid w:val="0033338C"/>
    <w:rsid w:val="0035462D"/>
    <w:rsid w:val="003765B8"/>
    <w:rsid w:val="00384CDA"/>
    <w:rsid w:val="003A71A1"/>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003C7"/>
    <w:rsid w:val="0053388B"/>
    <w:rsid w:val="00535773"/>
    <w:rsid w:val="00543E6C"/>
    <w:rsid w:val="00546D44"/>
    <w:rsid w:val="0056254B"/>
    <w:rsid w:val="00562871"/>
    <w:rsid w:val="00565087"/>
    <w:rsid w:val="0057305F"/>
    <w:rsid w:val="00586A03"/>
    <w:rsid w:val="00586E2E"/>
    <w:rsid w:val="00597B11"/>
    <w:rsid w:val="005C2C0B"/>
    <w:rsid w:val="005D2E01"/>
    <w:rsid w:val="005D7526"/>
    <w:rsid w:val="005E4BB2"/>
    <w:rsid w:val="00602AEA"/>
    <w:rsid w:val="00614FDF"/>
    <w:rsid w:val="00631B7B"/>
    <w:rsid w:val="0063543D"/>
    <w:rsid w:val="0063585B"/>
    <w:rsid w:val="00647114"/>
    <w:rsid w:val="00660127"/>
    <w:rsid w:val="006A323F"/>
    <w:rsid w:val="006A6F17"/>
    <w:rsid w:val="006B30D0"/>
    <w:rsid w:val="006C1584"/>
    <w:rsid w:val="006C3D95"/>
    <w:rsid w:val="006E5C86"/>
    <w:rsid w:val="006F61D7"/>
    <w:rsid w:val="00701116"/>
    <w:rsid w:val="00713C44"/>
    <w:rsid w:val="0073480D"/>
    <w:rsid w:val="00734A5B"/>
    <w:rsid w:val="0074026F"/>
    <w:rsid w:val="007429F6"/>
    <w:rsid w:val="00743C79"/>
    <w:rsid w:val="00744E76"/>
    <w:rsid w:val="0077133F"/>
    <w:rsid w:val="00774DA4"/>
    <w:rsid w:val="0077715A"/>
    <w:rsid w:val="00781F0F"/>
    <w:rsid w:val="007A7AA8"/>
    <w:rsid w:val="007B600E"/>
    <w:rsid w:val="007F0F4A"/>
    <w:rsid w:val="007F48C9"/>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75F69"/>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4C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17FB"/>
    <w:rsid w:val="00CC4BC3"/>
    <w:rsid w:val="00CD2E3D"/>
    <w:rsid w:val="00CD53EF"/>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2959"/>
    <w:rsid w:val="00EA15B0"/>
    <w:rsid w:val="00EA1DFE"/>
    <w:rsid w:val="00EA5EA7"/>
    <w:rsid w:val="00EC4A25"/>
    <w:rsid w:val="00EF13CA"/>
    <w:rsid w:val="00F025A2"/>
    <w:rsid w:val="00F04712"/>
    <w:rsid w:val="00F13360"/>
    <w:rsid w:val="00F22EC7"/>
    <w:rsid w:val="00F325C8"/>
    <w:rsid w:val="00F653B8"/>
    <w:rsid w:val="00F76708"/>
    <w:rsid w:val="00F7745B"/>
    <w:rsid w:val="00F80895"/>
    <w:rsid w:val="00F9008D"/>
    <w:rsid w:val="00FA1266"/>
    <w:rsid w:val="00FA4E78"/>
    <w:rsid w:val="00FC1192"/>
    <w:rsid w:val="011629BA"/>
    <w:rsid w:val="01295F0D"/>
    <w:rsid w:val="01410DC2"/>
    <w:rsid w:val="01536085"/>
    <w:rsid w:val="01541FBE"/>
    <w:rsid w:val="0158163D"/>
    <w:rsid w:val="015A322D"/>
    <w:rsid w:val="01652E48"/>
    <w:rsid w:val="018F1743"/>
    <w:rsid w:val="018F25C8"/>
    <w:rsid w:val="01906A5B"/>
    <w:rsid w:val="01907C39"/>
    <w:rsid w:val="01D70F12"/>
    <w:rsid w:val="01E70C97"/>
    <w:rsid w:val="01E87AB1"/>
    <w:rsid w:val="01EA15CF"/>
    <w:rsid w:val="02184103"/>
    <w:rsid w:val="02402E7C"/>
    <w:rsid w:val="024A1E1E"/>
    <w:rsid w:val="02505886"/>
    <w:rsid w:val="029011A2"/>
    <w:rsid w:val="02A03627"/>
    <w:rsid w:val="02DB4554"/>
    <w:rsid w:val="02EC4357"/>
    <w:rsid w:val="02EE768C"/>
    <w:rsid w:val="02FA1082"/>
    <w:rsid w:val="031778E0"/>
    <w:rsid w:val="0327096F"/>
    <w:rsid w:val="032A315A"/>
    <w:rsid w:val="03481CC2"/>
    <w:rsid w:val="034E163D"/>
    <w:rsid w:val="038346FC"/>
    <w:rsid w:val="03A3177A"/>
    <w:rsid w:val="03BF3D9F"/>
    <w:rsid w:val="03C80AD2"/>
    <w:rsid w:val="03C95263"/>
    <w:rsid w:val="03F0584F"/>
    <w:rsid w:val="03FB5627"/>
    <w:rsid w:val="04076F95"/>
    <w:rsid w:val="04242812"/>
    <w:rsid w:val="042736AF"/>
    <w:rsid w:val="04296FF1"/>
    <w:rsid w:val="04383CC9"/>
    <w:rsid w:val="04421BA4"/>
    <w:rsid w:val="044B12E0"/>
    <w:rsid w:val="046301A2"/>
    <w:rsid w:val="046A0693"/>
    <w:rsid w:val="04732FB8"/>
    <w:rsid w:val="04871DE8"/>
    <w:rsid w:val="048F6485"/>
    <w:rsid w:val="04A12403"/>
    <w:rsid w:val="04A815F7"/>
    <w:rsid w:val="04AD06A4"/>
    <w:rsid w:val="04BD1E3A"/>
    <w:rsid w:val="04C5285F"/>
    <w:rsid w:val="04E04910"/>
    <w:rsid w:val="050104C5"/>
    <w:rsid w:val="050C7718"/>
    <w:rsid w:val="05176C7C"/>
    <w:rsid w:val="05214F03"/>
    <w:rsid w:val="055E02FB"/>
    <w:rsid w:val="056A3BE2"/>
    <w:rsid w:val="05AE2916"/>
    <w:rsid w:val="05B1379B"/>
    <w:rsid w:val="05C6466C"/>
    <w:rsid w:val="05DB67C3"/>
    <w:rsid w:val="05F02736"/>
    <w:rsid w:val="06026AB1"/>
    <w:rsid w:val="060D0D66"/>
    <w:rsid w:val="062C2061"/>
    <w:rsid w:val="06311BAC"/>
    <w:rsid w:val="067C67DB"/>
    <w:rsid w:val="068158A4"/>
    <w:rsid w:val="06C82223"/>
    <w:rsid w:val="06E73497"/>
    <w:rsid w:val="07007517"/>
    <w:rsid w:val="07073FA3"/>
    <w:rsid w:val="07262AE1"/>
    <w:rsid w:val="072F7FC6"/>
    <w:rsid w:val="0732584E"/>
    <w:rsid w:val="075A7EF6"/>
    <w:rsid w:val="076202A2"/>
    <w:rsid w:val="076A2A73"/>
    <w:rsid w:val="07754CC8"/>
    <w:rsid w:val="07AE506C"/>
    <w:rsid w:val="07BC23FD"/>
    <w:rsid w:val="07C22AAD"/>
    <w:rsid w:val="07C3764D"/>
    <w:rsid w:val="07DB536F"/>
    <w:rsid w:val="07F66AC5"/>
    <w:rsid w:val="07FC6151"/>
    <w:rsid w:val="0833764C"/>
    <w:rsid w:val="084677D5"/>
    <w:rsid w:val="0848005E"/>
    <w:rsid w:val="084B1A9E"/>
    <w:rsid w:val="084C657D"/>
    <w:rsid w:val="084D12F0"/>
    <w:rsid w:val="087029A6"/>
    <w:rsid w:val="087B6B61"/>
    <w:rsid w:val="087E40F9"/>
    <w:rsid w:val="08916AA8"/>
    <w:rsid w:val="0892530A"/>
    <w:rsid w:val="089F664F"/>
    <w:rsid w:val="08A203F3"/>
    <w:rsid w:val="08AF00C1"/>
    <w:rsid w:val="08B531C0"/>
    <w:rsid w:val="08BB1078"/>
    <w:rsid w:val="08BD1F16"/>
    <w:rsid w:val="08CD401D"/>
    <w:rsid w:val="08D16FC6"/>
    <w:rsid w:val="08D53034"/>
    <w:rsid w:val="08DA28B3"/>
    <w:rsid w:val="08DD2BEF"/>
    <w:rsid w:val="08FA62A0"/>
    <w:rsid w:val="0903652D"/>
    <w:rsid w:val="090556C6"/>
    <w:rsid w:val="09104DCD"/>
    <w:rsid w:val="09335E2F"/>
    <w:rsid w:val="094C40B4"/>
    <w:rsid w:val="09606948"/>
    <w:rsid w:val="096E0D4F"/>
    <w:rsid w:val="09736AE0"/>
    <w:rsid w:val="09E30E5D"/>
    <w:rsid w:val="09F331B4"/>
    <w:rsid w:val="0A1364A3"/>
    <w:rsid w:val="0A143BE1"/>
    <w:rsid w:val="0A286DFB"/>
    <w:rsid w:val="0A5164D1"/>
    <w:rsid w:val="0A6C43DE"/>
    <w:rsid w:val="0ABC02E8"/>
    <w:rsid w:val="0AC16484"/>
    <w:rsid w:val="0ACB2015"/>
    <w:rsid w:val="0AD20D5E"/>
    <w:rsid w:val="0AD555AC"/>
    <w:rsid w:val="0AED24FC"/>
    <w:rsid w:val="0B0444E5"/>
    <w:rsid w:val="0B0F4A80"/>
    <w:rsid w:val="0B1B1997"/>
    <w:rsid w:val="0B24532C"/>
    <w:rsid w:val="0B3F6621"/>
    <w:rsid w:val="0B4D2A88"/>
    <w:rsid w:val="0B527B25"/>
    <w:rsid w:val="0B5E0983"/>
    <w:rsid w:val="0B6A4840"/>
    <w:rsid w:val="0B707256"/>
    <w:rsid w:val="0B7129F9"/>
    <w:rsid w:val="0B744B6D"/>
    <w:rsid w:val="0B7E60C9"/>
    <w:rsid w:val="0B8730CC"/>
    <w:rsid w:val="0B927AF3"/>
    <w:rsid w:val="0BA069F6"/>
    <w:rsid w:val="0BB6397D"/>
    <w:rsid w:val="0BE05B3D"/>
    <w:rsid w:val="0BEF4F2C"/>
    <w:rsid w:val="0BF03462"/>
    <w:rsid w:val="0BF56721"/>
    <w:rsid w:val="0C226DB2"/>
    <w:rsid w:val="0C5161F8"/>
    <w:rsid w:val="0C52360D"/>
    <w:rsid w:val="0C721B20"/>
    <w:rsid w:val="0C7C1976"/>
    <w:rsid w:val="0CAC6DE2"/>
    <w:rsid w:val="0CBA5E3E"/>
    <w:rsid w:val="0CCB3B11"/>
    <w:rsid w:val="0CDE55BC"/>
    <w:rsid w:val="0CDF3914"/>
    <w:rsid w:val="0CDF6AE4"/>
    <w:rsid w:val="0CEA2CF7"/>
    <w:rsid w:val="0D035130"/>
    <w:rsid w:val="0D225E27"/>
    <w:rsid w:val="0D23336E"/>
    <w:rsid w:val="0D284B82"/>
    <w:rsid w:val="0D3A5239"/>
    <w:rsid w:val="0D3A7039"/>
    <w:rsid w:val="0D4356A8"/>
    <w:rsid w:val="0D8735F9"/>
    <w:rsid w:val="0D8972A3"/>
    <w:rsid w:val="0D94436C"/>
    <w:rsid w:val="0D980C13"/>
    <w:rsid w:val="0DB607B8"/>
    <w:rsid w:val="0DC22600"/>
    <w:rsid w:val="0DC51AC4"/>
    <w:rsid w:val="0DC63EF2"/>
    <w:rsid w:val="0DD75C5E"/>
    <w:rsid w:val="0DD9749D"/>
    <w:rsid w:val="0DE9579A"/>
    <w:rsid w:val="0DFA693B"/>
    <w:rsid w:val="0DFF4B13"/>
    <w:rsid w:val="0E093416"/>
    <w:rsid w:val="0E402695"/>
    <w:rsid w:val="0E6B4543"/>
    <w:rsid w:val="0E777792"/>
    <w:rsid w:val="0E7B1FCA"/>
    <w:rsid w:val="0E880E39"/>
    <w:rsid w:val="0E9D025B"/>
    <w:rsid w:val="0EA8225F"/>
    <w:rsid w:val="0ED01837"/>
    <w:rsid w:val="0ED33A29"/>
    <w:rsid w:val="0EF97174"/>
    <w:rsid w:val="0F0F3D45"/>
    <w:rsid w:val="0F2550AA"/>
    <w:rsid w:val="0F3A116B"/>
    <w:rsid w:val="0F48005B"/>
    <w:rsid w:val="0F511411"/>
    <w:rsid w:val="0F703346"/>
    <w:rsid w:val="0F80004E"/>
    <w:rsid w:val="0F871EAB"/>
    <w:rsid w:val="0F9F1528"/>
    <w:rsid w:val="0FDF5A14"/>
    <w:rsid w:val="1008703A"/>
    <w:rsid w:val="10126FBC"/>
    <w:rsid w:val="103809FF"/>
    <w:rsid w:val="103B4DE8"/>
    <w:rsid w:val="104832ED"/>
    <w:rsid w:val="10764104"/>
    <w:rsid w:val="10816F43"/>
    <w:rsid w:val="1096068D"/>
    <w:rsid w:val="10B951CF"/>
    <w:rsid w:val="10BB3068"/>
    <w:rsid w:val="10D82C05"/>
    <w:rsid w:val="110E3EB6"/>
    <w:rsid w:val="11131D94"/>
    <w:rsid w:val="111778A8"/>
    <w:rsid w:val="111E4B32"/>
    <w:rsid w:val="1123565C"/>
    <w:rsid w:val="1124277B"/>
    <w:rsid w:val="112A1125"/>
    <w:rsid w:val="11454527"/>
    <w:rsid w:val="11560AFF"/>
    <w:rsid w:val="11617971"/>
    <w:rsid w:val="11622F64"/>
    <w:rsid w:val="116F4939"/>
    <w:rsid w:val="11846297"/>
    <w:rsid w:val="118660F9"/>
    <w:rsid w:val="11953E67"/>
    <w:rsid w:val="11AD4D58"/>
    <w:rsid w:val="11B67206"/>
    <w:rsid w:val="11BA4661"/>
    <w:rsid w:val="11BA6A1A"/>
    <w:rsid w:val="11C70182"/>
    <w:rsid w:val="11E411C4"/>
    <w:rsid w:val="11E43DA7"/>
    <w:rsid w:val="11EE75FC"/>
    <w:rsid w:val="11FA2349"/>
    <w:rsid w:val="12044AB3"/>
    <w:rsid w:val="12342A01"/>
    <w:rsid w:val="12533BE9"/>
    <w:rsid w:val="126548EE"/>
    <w:rsid w:val="12817181"/>
    <w:rsid w:val="129E41E5"/>
    <w:rsid w:val="12AA4BE9"/>
    <w:rsid w:val="12C003F7"/>
    <w:rsid w:val="12C7679B"/>
    <w:rsid w:val="12DD774D"/>
    <w:rsid w:val="12E20B88"/>
    <w:rsid w:val="130866EA"/>
    <w:rsid w:val="133E4EC4"/>
    <w:rsid w:val="13573832"/>
    <w:rsid w:val="136404F3"/>
    <w:rsid w:val="137E2663"/>
    <w:rsid w:val="13B61E8E"/>
    <w:rsid w:val="13C23A1B"/>
    <w:rsid w:val="13C72FD3"/>
    <w:rsid w:val="13C76244"/>
    <w:rsid w:val="13CF28FB"/>
    <w:rsid w:val="13DA7C15"/>
    <w:rsid w:val="13E905BF"/>
    <w:rsid w:val="13EA5E5F"/>
    <w:rsid w:val="140F27D6"/>
    <w:rsid w:val="14107AE9"/>
    <w:rsid w:val="14175E0A"/>
    <w:rsid w:val="141F1BA5"/>
    <w:rsid w:val="14254028"/>
    <w:rsid w:val="142A2204"/>
    <w:rsid w:val="143B2E70"/>
    <w:rsid w:val="14415389"/>
    <w:rsid w:val="1472255F"/>
    <w:rsid w:val="14782396"/>
    <w:rsid w:val="148942E3"/>
    <w:rsid w:val="148B031E"/>
    <w:rsid w:val="1492597B"/>
    <w:rsid w:val="14AC25B0"/>
    <w:rsid w:val="14AE0BED"/>
    <w:rsid w:val="14AF303C"/>
    <w:rsid w:val="14BE55AD"/>
    <w:rsid w:val="14C355CD"/>
    <w:rsid w:val="14E52CFF"/>
    <w:rsid w:val="14E90EFF"/>
    <w:rsid w:val="1502113A"/>
    <w:rsid w:val="151308D4"/>
    <w:rsid w:val="1525202B"/>
    <w:rsid w:val="15281376"/>
    <w:rsid w:val="15422545"/>
    <w:rsid w:val="156508EF"/>
    <w:rsid w:val="15693006"/>
    <w:rsid w:val="15716A99"/>
    <w:rsid w:val="157177C3"/>
    <w:rsid w:val="1581047E"/>
    <w:rsid w:val="15895642"/>
    <w:rsid w:val="15A444EB"/>
    <w:rsid w:val="15B0540D"/>
    <w:rsid w:val="15B10740"/>
    <w:rsid w:val="15B47AB3"/>
    <w:rsid w:val="15B7532E"/>
    <w:rsid w:val="15C84147"/>
    <w:rsid w:val="15CA017F"/>
    <w:rsid w:val="15D71AD5"/>
    <w:rsid w:val="15DC38C2"/>
    <w:rsid w:val="15F23B4A"/>
    <w:rsid w:val="15FC08F6"/>
    <w:rsid w:val="16050CCE"/>
    <w:rsid w:val="1646133C"/>
    <w:rsid w:val="165931D9"/>
    <w:rsid w:val="16682D3E"/>
    <w:rsid w:val="167046E9"/>
    <w:rsid w:val="167E382D"/>
    <w:rsid w:val="169C38A4"/>
    <w:rsid w:val="16DC0535"/>
    <w:rsid w:val="16EF74E9"/>
    <w:rsid w:val="170716B6"/>
    <w:rsid w:val="173D4671"/>
    <w:rsid w:val="174442E4"/>
    <w:rsid w:val="1748083E"/>
    <w:rsid w:val="17553F9F"/>
    <w:rsid w:val="175623CE"/>
    <w:rsid w:val="176538DA"/>
    <w:rsid w:val="1794775D"/>
    <w:rsid w:val="17C376AD"/>
    <w:rsid w:val="17CB4905"/>
    <w:rsid w:val="17D01F3A"/>
    <w:rsid w:val="17DC7DAF"/>
    <w:rsid w:val="17DF40F7"/>
    <w:rsid w:val="17F01ECF"/>
    <w:rsid w:val="180E4FC5"/>
    <w:rsid w:val="18171331"/>
    <w:rsid w:val="18396192"/>
    <w:rsid w:val="184A4BE3"/>
    <w:rsid w:val="185060EC"/>
    <w:rsid w:val="185A42FA"/>
    <w:rsid w:val="18870C54"/>
    <w:rsid w:val="189D2207"/>
    <w:rsid w:val="18A45C40"/>
    <w:rsid w:val="18D57338"/>
    <w:rsid w:val="18E96032"/>
    <w:rsid w:val="18EE62E8"/>
    <w:rsid w:val="18F96461"/>
    <w:rsid w:val="19116F8E"/>
    <w:rsid w:val="1914310D"/>
    <w:rsid w:val="19461284"/>
    <w:rsid w:val="19551A74"/>
    <w:rsid w:val="195F7D63"/>
    <w:rsid w:val="197C2433"/>
    <w:rsid w:val="19933139"/>
    <w:rsid w:val="19AC4F46"/>
    <w:rsid w:val="19AC6A35"/>
    <w:rsid w:val="19D57461"/>
    <w:rsid w:val="19E74602"/>
    <w:rsid w:val="19EE7D0B"/>
    <w:rsid w:val="1A077D86"/>
    <w:rsid w:val="1A085685"/>
    <w:rsid w:val="1A191F3E"/>
    <w:rsid w:val="1A5163D6"/>
    <w:rsid w:val="1A54768F"/>
    <w:rsid w:val="1A5A669E"/>
    <w:rsid w:val="1A6A5CDF"/>
    <w:rsid w:val="1A796C32"/>
    <w:rsid w:val="1AB9028C"/>
    <w:rsid w:val="1AC56317"/>
    <w:rsid w:val="1AD6319E"/>
    <w:rsid w:val="1B1062F2"/>
    <w:rsid w:val="1B4B651F"/>
    <w:rsid w:val="1B777BC9"/>
    <w:rsid w:val="1B7D10D5"/>
    <w:rsid w:val="1B8D6B92"/>
    <w:rsid w:val="1B936CD6"/>
    <w:rsid w:val="1B990279"/>
    <w:rsid w:val="1B9B4E1C"/>
    <w:rsid w:val="1B9C50E9"/>
    <w:rsid w:val="1BA04CC7"/>
    <w:rsid w:val="1BAA5FDD"/>
    <w:rsid w:val="1BAD4429"/>
    <w:rsid w:val="1BB80557"/>
    <w:rsid w:val="1BBC1606"/>
    <w:rsid w:val="1BD91A80"/>
    <w:rsid w:val="1BDC68CC"/>
    <w:rsid w:val="1BE641ED"/>
    <w:rsid w:val="1BEE30A8"/>
    <w:rsid w:val="1BF24F3D"/>
    <w:rsid w:val="1BFD5FA2"/>
    <w:rsid w:val="1C1D36F1"/>
    <w:rsid w:val="1C291BAA"/>
    <w:rsid w:val="1C386892"/>
    <w:rsid w:val="1C4A2683"/>
    <w:rsid w:val="1C5F292D"/>
    <w:rsid w:val="1C5F3B2B"/>
    <w:rsid w:val="1C631E26"/>
    <w:rsid w:val="1C7530BF"/>
    <w:rsid w:val="1C916922"/>
    <w:rsid w:val="1CBC5611"/>
    <w:rsid w:val="1CC137A2"/>
    <w:rsid w:val="1CD22EF6"/>
    <w:rsid w:val="1CD7177C"/>
    <w:rsid w:val="1CF005FD"/>
    <w:rsid w:val="1CF6531E"/>
    <w:rsid w:val="1CF73467"/>
    <w:rsid w:val="1D0B195E"/>
    <w:rsid w:val="1D120041"/>
    <w:rsid w:val="1D243745"/>
    <w:rsid w:val="1D3570D5"/>
    <w:rsid w:val="1D4E0EB2"/>
    <w:rsid w:val="1D693FA7"/>
    <w:rsid w:val="1D8F4E65"/>
    <w:rsid w:val="1DB553DF"/>
    <w:rsid w:val="1DBF1882"/>
    <w:rsid w:val="1DC70ACB"/>
    <w:rsid w:val="1DF17BE1"/>
    <w:rsid w:val="1DFC1393"/>
    <w:rsid w:val="1E4719A3"/>
    <w:rsid w:val="1E5F1F97"/>
    <w:rsid w:val="1E6C5F4E"/>
    <w:rsid w:val="1E9D4347"/>
    <w:rsid w:val="1EA65561"/>
    <w:rsid w:val="1EAD4127"/>
    <w:rsid w:val="1EB41D2D"/>
    <w:rsid w:val="1EB70BD9"/>
    <w:rsid w:val="1EB80D43"/>
    <w:rsid w:val="1EB8797A"/>
    <w:rsid w:val="1EDA6C33"/>
    <w:rsid w:val="1EEC719E"/>
    <w:rsid w:val="1EF7018A"/>
    <w:rsid w:val="1F0242AA"/>
    <w:rsid w:val="1F044236"/>
    <w:rsid w:val="1F25251D"/>
    <w:rsid w:val="1F2B5438"/>
    <w:rsid w:val="1F377BCE"/>
    <w:rsid w:val="1F390590"/>
    <w:rsid w:val="1F424A01"/>
    <w:rsid w:val="1F4C6748"/>
    <w:rsid w:val="1F595467"/>
    <w:rsid w:val="1F5B2F4F"/>
    <w:rsid w:val="1F5C06A1"/>
    <w:rsid w:val="1FB80942"/>
    <w:rsid w:val="1FBB5482"/>
    <w:rsid w:val="2001262E"/>
    <w:rsid w:val="200D64BE"/>
    <w:rsid w:val="20153599"/>
    <w:rsid w:val="201B2789"/>
    <w:rsid w:val="20256516"/>
    <w:rsid w:val="20584BED"/>
    <w:rsid w:val="206D7DC3"/>
    <w:rsid w:val="20BF3EAA"/>
    <w:rsid w:val="20D60AAE"/>
    <w:rsid w:val="20FE18CB"/>
    <w:rsid w:val="21061BA2"/>
    <w:rsid w:val="2121427E"/>
    <w:rsid w:val="21262CBA"/>
    <w:rsid w:val="212B1C97"/>
    <w:rsid w:val="21361FB5"/>
    <w:rsid w:val="21363FE8"/>
    <w:rsid w:val="214B3D89"/>
    <w:rsid w:val="21575426"/>
    <w:rsid w:val="215C1F77"/>
    <w:rsid w:val="2177769E"/>
    <w:rsid w:val="218F3487"/>
    <w:rsid w:val="21D25FF2"/>
    <w:rsid w:val="21F70210"/>
    <w:rsid w:val="22344A9E"/>
    <w:rsid w:val="22363269"/>
    <w:rsid w:val="223C2DAF"/>
    <w:rsid w:val="223E2651"/>
    <w:rsid w:val="2248503C"/>
    <w:rsid w:val="224E39C0"/>
    <w:rsid w:val="22616311"/>
    <w:rsid w:val="226575C4"/>
    <w:rsid w:val="22682C5C"/>
    <w:rsid w:val="226D3EEA"/>
    <w:rsid w:val="226E077B"/>
    <w:rsid w:val="2291610E"/>
    <w:rsid w:val="22923DE9"/>
    <w:rsid w:val="22973417"/>
    <w:rsid w:val="229D5794"/>
    <w:rsid w:val="22C17DB5"/>
    <w:rsid w:val="22C629AC"/>
    <w:rsid w:val="22DD27AA"/>
    <w:rsid w:val="22E96F92"/>
    <w:rsid w:val="23060CEA"/>
    <w:rsid w:val="230D3451"/>
    <w:rsid w:val="230E5678"/>
    <w:rsid w:val="23257653"/>
    <w:rsid w:val="23441FFA"/>
    <w:rsid w:val="234B3276"/>
    <w:rsid w:val="23773623"/>
    <w:rsid w:val="2377693D"/>
    <w:rsid w:val="239F724D"/>
    <w:rsid w:val="23AB1721"/>
    <w:rsid w:val="23DB0D43"/>
    <w:rsid w:val="23E6410C"/>
    <w:rsid w:val="23EF0BE1"/>
    <w:rsid w:val="24002E5E"/>
    <w:rsid w:val="243E1982"/>
    <w:rsid w:val="245A6743"/>
    <w:rsid w:val="246A08B9"/>
    <w:rsid w:val="24754B15"/>
    <w:rsid w:val="247F64CC"/>
    <w:rsid w:val="248D420D"/>
    <w:rsid w:val="24921B27"/>
    <w:rsid w:val="249E776E"/>
    <w:rsid w:val="24A0121D"/>
    <w:rsid w:val="24B97631"/>
    <w:rsid w:val="24C90419"/>
    <w:rsid w:val="24E32289"/>
    <w:rsid w:val="24E84F70"/>
    <w:rsid w:val="24ED1C1E"/>
    <w:rsid w:val="24F0284D"/>
    <w:rsid w:val="250E20E4"/>
    <w:rsid w:val="25120691"/>
    <w:rsid w:val="25202C91"/>
    <w:rsid w:val="252331A5"/>
    <w:rsid w:val="252733A0"/>
    <w:rsid w:val="25425A19"/>
    <w:rsid w:val="25490B3E"/>
    <w:rsid w:val="256F1A53"/>
    <w:rsid w:val="258B2F2B"/>
    <w:rsid w:val="258B31A0"/>
    <w:rsid w:val="25AB3D1C"/>
    <w:rsid w:val="25D90A1B"/>
    <w:rsid w:val="25E22192"/>
    <w:rsid w:val="25F332FF"/>
    <w:rsid w:val="25FE37D6"/>
    <w:rsid w:val="260D72CA"/>
    <w:rsid w:val="26274BB6"/>
    <w:rsid w:val="26356536"/>
    <w:rsid w:val="268B243A"/>
    <w:rsid w:val="269C627F"/>
    <w:rsid w:val="26AA20D3"/>
    <w:rsid w:val="26B43DCE"/>
    <w:rsid w:val="26C705B0"/>
    <w:rsid w:val="26DD3B73"/>
    <w:rsid w:val="26E576C7"/>
    <w:rsid w:val="26F04260"/>
    <w:rsid w:val="26F81EB4"/>
    <w:rsid w:val="26FA0F04"/>
    <w:rsid w:val="26FB2F1B"/>
    <w:rsid w:val="27310B9A"/>
    <w:rsid w:val="273E1C11"/>
    <w:rsid w:val="274C72F0"/>
    <w:rsid w:val="27511867"/>
    <w:rsid w:val="275265C3"/>
    <w:rsid w:val="276B112C"/>
    <w:rsid w:val="27815619"/>
    <w:rsid w:val="279E2679"/>
    <w:rsid w:val="279F554C"/>
    <w:rsid w:val="27D65541"/>
    <w:rsid w:val="27EC5FCE"/>
    <w:rsid w:val="286651CF"/>
    <w:rsid w:val="28671C46"/>
    <w:rsid w:val="2897657D"/>
    <w:rsid w:val="28AB19F4"/>
    <w:rsid w:val="28D71E0B"/>
    <w:rsid w:val="28DC39BE"/>
    <w:rsid w:val="28DD5BCB"/>
    <w:rsid w:val="28E01F8A"/>
    <w:rsid w:val="28F045AC"/>
    <w:rsid w:val="291D583E"/>
    <w:rsid w:val="29602BC4"/>
    <w:rsid w:val="299760C7"/>
    <w:rsid w:val="2999350D"/>
    <w:rsid w:val="299E7E78"/>
    <w:rsid w:val="29B759BC"/>
    <w:rsid w:val="29D60A95"/>
    <w:rsid w:val="29D94FA1"/>
    <w:rsid w:val="29E31604"/>
    <w:rsid w:val="29F87E04"/>
    <w:rsid w:val="2A1A7BC7"/>
    <w:rsid w:val="2A2D73EC"/>
    <w:rsid w:val="2A2E4CEB"/>
    <w:rsid w:val="2A3B565F"/>
    <w:rsid w:val="2A653259"/>
    <w:rsid w:val="2A8F4841"/>
    <w:rsid w:val="2AA369DD"/>
    <w:rsid w:val="2AAF4F9A"/>
    <w:rsid w:val="2AD06022"/>
    <w:rsid w:val="2AD63975"/>
    <w:rsid w:val="2ADD1B0D"/>
    <w:rsid w:val="2ADF2DC8"/>
    <w:rsid w:val="2AE64773"/>
    <w:rsid w:val="2AEC47FC"/>
    <w:rsid w:val="2AF1331E"/>
    <w:rsid w:val="2AF81BE3"/>
    <w:rsid w:val="2AF926C9"/>
    <w:rsid w:val="2AFA02A2"/>
    <w:rsid w:val="2AFF23A5"/>
    <w:rsid w:val="2B361003"/>
    <w:rsid w:val="2B3762A6"/>
    <w:rsid w:val="2B3C6641"/>
    <w:rsid w:val="2B5B0F6E"/>
    <w:rsid w:val="2B925FDF"/>
    <w:rsid w:val="2B9970F1"/>
    <w:rsid w:val="2BB65D1D"/>
    <w:rsid w:val="2BE501C7"/>
    <w:rsid w:val="2BED2E55"/>
    <w:rsid w:val="2C1738CF"/>
    <w:rsid w:val="2C1945D8"/>
    <w:rsid w:val="2C6C7918"/>
    <w:rsid w:val="2C783906"/>
    <w:rsid w:val="2CA57E78"/>
    <w:rsid w:val="2CB5787B"/>
    <w:rsid w:val="2CBF13A5"/>
    <w:rsid w:val="2CCA4381"/>
    <w:rsid w:val="2CD30F03"/>
    <w:rsid w:val="2CF249BE"/>
    <w:rsid w:val="2CFC1554"/>
    <w:rsid w:val="2CFF3512"/>
    <w:rsid w:val="2D0B7148"/>
    <w:rsid w:val="2D17770B"/>
    <w:rsid w:val="2D354DCA"/>
    <w:rsid w:val="2D6E6943"/>
    <w:rsid w:val="2D7E4AF7"/>
    <w:rsid w:val="2D7F5BCC"/>
    <w:rsid w:val="2D8519AC"/>
    <w:rsid w:val="2D87777E"/>
    <w:rsid w:val="2D8E349F"/>
    <w:rsid w:val="2D9469E6"/>
    <w:rsid w:val="2D9D7A77"/>
    <w:rsid w:val="2DAF78FF"/>
    <w:rsid w:val="2DD93F77"/>
    <w:rsid w:val="2DDE7A41"/>
    <w:rsid w:val="2DEF20F0"/>
    <w:rsid w:val="2E035A56"/>
    <w:rsid w:val="2E041306"/>
    <w:rsid w:val="2E0745C9"/>
    <w:rsid w:val="2E106E4C"/>
    <w:rsid w:val="2E422716"/>
    <w:rsid w:val="2E4C211D"/>
    <w:rsid w:val="2E4D7F49"/>
    <w:rsid w:val="2E4E05E7"/>
    <w:rsid w:val="2E4E1129"/>
    <w:rsid w:val="2E5B5EA2"/>
    <w:rsid w:val="2E6446EB"/>
    <w:rsid w:val="2E7F0E61"/>
    <w:rsid w:val="2E7F686F"/>
    <w:rsid w:val="2E870765"/>
    <w:rsid w:val="2E8D0791"/>
    <w:rsid w:val="2E9B39A1"/>
    <w:rsid w:val="2EF46E83"/>
    <w:rsid w:val="2F047EE8"/>
    <w:rsid w:val="2F085C75"/>
    <w:rsid w:val="2F116436"/>
    <w:rsid w:val="2F2B12A9"/>
    <w:rsid w:val="2F3440DE"/>
    <w:rsid w:val="2F626907"/>
    <w:rsid w:val="2F956224"/>
    <w:rsid w:val="2FA00F7A"/>
    <w:rsid w:val="2FA23A7C"/>
    <w:rsid w:val="2FA30525"/>
    <w:rsid w:val="2FB449B9"/>
    <w:rsid w:val="2FC73BC7"/>
    <w:rsid w:val="2FD33F66"/>
    <w:rsid w:val="2FD408E0"/>
    <w:rsid w:val="2FE311E4"/>
    <w:rsid w:val="2FF608DC"/>
    <w:rsid w:val="2FFD3FAC"/>
    <w:rsid w:val="3004586C"/>
    <w:rsid w:val="30160ACC"/>
    <w:rsid w:val="30291A13"/>
    <w:rsid w:val="3045081F"/>
    <w:rsid w:val="306825DD"/>
    <w:rsid w:val="30834BF9"/>
    <w:rsid w:val="30944718"/>
    <w:rsid w:val="30C01078"/>
    <w:rsid w:val="30CF0FD9"/>
    <w:rsid w:val="30F34FAE"/>
    <w:rsid w:val="3111085C"/>
    <w:rsid w:val="31325585"/>
    <w:rsid w:val="3133127A"/>
    <w:rsid w:val="31353CD7"/>
    <w:rsid w:val="313E4128"/>
    <w:rsid w:val="313E620E"/>
    <w:rsid w:val="313E6CDE"/>
    <w:rsid w:val="31727F68"/>
    <w:rsid w:val="317662E9"/>
    <w:rsid w:val="31954796"/>
    <w:rsid w:val="31962DAE"/>
    <w:rsid w:val="319F0073"/>
    <w:rsid w:val="31B56BB4"/>
    <w:rsid w:val="31B9498A"/>
    <w:rsid w:val="32044DED"/>
    <w:rsid w:val="320C562E"/>
    <w:rsid w:val="32462A55"/>
    <w:rsid w:val="324B22D2"/>
    <w:rsid w:val="32575E9A"/>
    <w:rsid w:val="325C3AF5"/>
    <w:rsid w:val="327A0FE8"/>
    <w:rsid w:val="32931C47"/>
    <w:rsid w:val="329F684F"/>
    <w:rsid w:val="32B26B6D"/>
    <w:rsid w:val="32C30926"/>
    <w:rsid w:val="32C92CF9"/>
    <w:rsid w:val="32F96ACA"/>
    <w:rsid w:val="330258B3"/>
    <w:rsid w:val="33054642"/>
    <w:rsid w:val="33106E3B"/>
    <w:rsid w:val="333E4968"/>
    <w:rsid w:val="337E28B4"/>
    <w:rsid w:val="338F27B5"/>
    <w:rsid w:val="33951969"/>
    <w:rsid w:val="339B5E01"/>
    <w:rsid w:val="33A31D7A"/>
    <w:rsid w:val="33BC0886"/>
    <w:rsid w:val="33D163EF"/>
    <w:rsid w:val="33D45DFD"/>
    <w:rsid w:val="33E605A3"/>
    <w:rsid w:val="33E706E6"/>
    <w:rsid w:val="33F14703"/>
    <w:rsid w:val="33F7797D"/>
    <w:rsid w:val="3406027F"/>
    <w:rsid w:val="34497B40"/>
    <w:rsid w:val="345B2367"/>
    <w:rsid w:val="34750D1D"/>
    <w:rsid w:val="34812D29"/>
    <w:rsid w:val="348B5095"/>
    <w:rsid w:val="349C31F7"/>
    <w:rsid w:val="34A54544"/>
    <w:rsid w:val="34AE0539"/>
    <w:rsid w:val="34BD4F1E"/>
    <w:rsid w:val="34CD5068"/>
    <w:rsid w:val="34CE2B5B"/>
    <w:rsid w:val="34E944F6"/>
    <w:rsid w:val="34E94AA0"/>
    <w:rsid w:val="35072EAD"/>
    <w:rsid w:val="350960B1"/>
    <w:rsid w:val="35150114"/>
    <w:rsid w:val="35217336"/>
    <w:rsid w:val="35290A77"/>
    <w:rsid w:val="352A0B4B"/>
    <w:rsid w:val="35356F10"/>
    <w:rsid w:val="354840CB"/>
    <w:rsid w:val="35520D37"/>
    <w:rsid w:val="3557697C"/>
    <w:rsid w:val="355C013C"/>
    <w:rsid w:val="3565420B"/>
    <w:rsid w:val="356A601B"/>
    <w:rsid w:val="3583595D"/>
    <w:rsid w:val="35841013"/>
    <w:rsid w:val="358B79C9"/>
    <w:rsid w:val="358C5CCB"/>
    <w:rsid w:val="359A00B9"/>
    <w:rsid w:val="35C73445"/>
    <w:rsid w:val="35F853BB"/>
    <w:rsid w:val="35FB1676"/>
    <w:rsid w:val="36133D69"/>
    <w:rsid w:val="361526DE"/>
    <w:rsid w:val="36225127"/>
    <w:rsid w:val="36237E20"/>
    <w:rsid w:val="36286678"/>
    <w:rsid w:val="363803C7"/>
    <w:rsid w:val="3669091E"/>
    <w:rsid w:val="367620D2"/>
    <w:rsid w:val="36802077"/>
    <w:rsid w:val="3689139F"/>
    <w:rsid w:val="369608CE"/>
    <w:rsid w:val="369B0A76"/>
    <w:rsid w:val="369B2954"/>
    <w:rsid w:val="36C1037B"/>
    <w:rsid w:val="36D067A6"/>
    <w:rsid w:val="37070D11"/>
    <w:rsid w:val="370C03C2"/>
    <w:rsid w:val="37201F64"/>
    <w:rsid w:val="373F53DD"/>
    <w:rsid w:val="375948AC"/>
    <w:rsid w:val="376B28D6"/>
    <w:rsid w:val="376C5D00"/>
    <w:rsid w:val="376E276D"/>
    <w:rsid w:val="37872023"/>
    <w:rsid w:val="37A04E93"/>
    <w:rsid w:val="37AA4F18"/>
    <w:rsid w:val="37EA0A17"/>
    <w:rsid w:val="37F510CB"/>
    <w:rsid w:val="380A7603"/>
    <w:rsid w:val="380B0BB2"/>
    <w:rsid w:val="380D32F1"/>
    <w:rsid w:val="380D5D0D"/>
    <w:rsid w:val="3825549B"/>
    <w:rsid w:val="382F2C1E"/>
    <w:rsid w:val="384D78BB"/>
    <w:rsid w:val="38716CD9"/>
    <w:rsid w:val="38801C6C"/>
    <w:rsid w:val="38851608"/>
    <w:rsid w:val="38A45712"/>
    <w:rsid w:val="38A47DD9"/>
    <w:rsid w:val="38B04451"/>
    <w:rsid w:val="38C9778C"/>
    <w:rsid w:val="38CC35B4"/>
    <w:rsid w:val="38D10166"/>
    <w:rsid w:val="39005416"/>
    <w:rsid w:val="390871F2"/>
    <w:rsid w:val="39207FD2"/>
    <w:rsid w:val="392A38E3"/>
    <w:rsid w:val="3933207C"/>
    <w:rsid w:val="394B37F2"/>
    <w:rsid w:val="39532C2F"/>
    <w:rsid w:val="39985F30"/>
    <w:rsid w:val="39D3500A"/>
    <w:rsid w:val="39D96419"/>
    <w:rsid w:val="39E55169"/>
    <w:rsid w:val="39E84553"/>
    <w:rsid w:val="39E861B5"/>
    <w:rsid w:val="39F4018B"/>
    <w:rsid w:val="39F72E22"/>
    <w:rsid w:val="3A094E52"/>
    <w:rsid w:val="3A174971"/>
    <w:rsid w:val="3A233308"/>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A7A40"/>
    <w:rsid w:val="3B7F36AC"/>
    <w:rsid w:val="3B822235"/>
    <w:rsid w:val="3B861D2E"/>
    <w:rsid w:val="3BAE1A82"/>
    <w:rsid w:val="3BC25680"/>
    <w:rsid w:val="3BD653F5"/>
    <w:rsid w:val="3BE16ECF"/>
    <w:rsid w:val="3C211965"/>
    <w:rsid w:val="3C352ED2"/>
    <w:rsid w:val="3C365282"/>
    <w:rsid w:val="3C4B0ED5"/>
    <w:rsid w:val="3CA91418"/>
    <w:rsid w:val="3CB064E9"/>
    <w:rsid w:val="3CBC1B56"/>
    <w:rsid w:val="3CBD75BF"/>
    <w:rsid w:val="3CC33BCC"/>
    <w:rsid w:val="3CD15DA5"/>
    <w:rsid w:val="3CD444B2"/>
    <w:rsid w:val="3CD641A1"/>
    <w:rsid w:val="3CD71CB8"/>
    <w:rsid w:val="3CE2490A"/>
    <w:rsid w:val="3CEA648A"/>
    <w:rsid w:val="3CF036C8"/>
    <w:rsid w:val="3D0772FE"/>
    <w:rsid w:val="3D0E3159"/>
    <w:rsid w:val="3D1502D9"/>
    <w:rsid w:val="3D555673"/>
    <w:rsid w:val="3D5657CC"/>
    <w:rsid w:val="3D5D2E26"/>
    <w:rsid w:val="3D876DDA"/>
    <w:rsid w:val="3D8E5ECA"/>
    <w:rsid w:val="3D902DB0"/>
    <w:rsid w:val="3DB21166"/>
    <w:rsid w:val="3DB52FFB"/>
    <w:rsid w:val="3DB932B8"/>
    <w:rsid w:val="3DDF3C84"/>
    <w:rsid w:val="3DF55B8D"/>
    <w:rsid w:val="3DF740D2"/>
    <w:rsid w:val="3E2942BE"/>
    <w:rsid w:val="3E300439"/>
    <w:rsid w:val="3E320B89"/>
    <w:rsid w:val="3E3906BC"/>
    <w:rsid w:val="3E5111EB"/>
    <w:rsid w:val="3E5648B2"/>
    <w:rsid w:val="3E593782"/>
    <w:rsid w:val="3E684241"/>
    <w:rsid w:val="3E75521D"/>
    <w:rsid w:val="3E83245B"/>
    <w:rsid w:val="3E8412E9"/>
    <w:rsid w:val="3E8F10CC"/>
    <w:rsid w:val="3E9328AF"/>
    <w:rsid w:val="3EB1094A"/>
    <w:rsid w:val="3EB47A6E"/>
    <w:rsid w:val="3EBC27E6"/>
    <w:rsid w:val="3EDA559F"/>
    <w:rsid w:val="3EDC10D0"/>
    <w:rsid w:val="3EE10368"/>
    <w:rsid w:val="3EF13BC7"/>
    <w:rsid w:val="3EF53D00"/>
    <w:rsid w:val="3EFE4E31"/>
    <w:rsid w:val="3F0C4369"/>
    <w:rsid w:val="3F10384C"/>
    <w:rsid w:val="3F2F53AA"/>
    <w:rsid w:val="3F5D2E4D"/>
    <w:rsid w:val="3F5F1F5C"/>
    <w:rsid w:val="3F6A5EE0"/>
    <w:rsid w:val="3F8A14CB"/>
    <w:rsid w:val="3F9E0865"/>
    <w:rsid w:val="3FA5009E"/>
    <w:rsid w:val="3FD50D82"/>
    <w:rsid w:val="3FDB1475"/>
    <w:rsid w:val="3FDE5AD9"/>
    <w:rsid w:val="3FE56AF2"/>
    <w:rsid w:val="401C7BD5"/>
    <w:rsid w:val="402417C8"/>
    <w:rsid w:val="40372073"/>
    <w:rsid w:val="403E6346"/>
    <w:rsid w:val="404F52A8"/>
    <w:rsid w:val="40655236"/>
    <w:rsid w:val="40B6211F"/>
    <w:rsid w:val="40BF3346"/>
    <w:rsid w:val="40C2573C"/>
    <w:rsid w:val="40D34024"/>
    <w:rsid w:val="40D43BA0"/>
    <w:rsid w:val="40DC106D"/>
    <w:rsid w:val="40E241CE"/>
    <w:rsid w:val="40EA78D7"/>
    <w:rsid w:val="40F90C23"/>
    <w:rsid w:val="412912D7"/>
    <w:rsid w:val="41366B89"/>
    <w:rsid w:val="41643D6B"/>
    <w:rsid w:val="41771599"/>
    <w:rsid w:val="41A04E11"/>
    <w:rsid w:val="41B85F14"/>
    <w:rsid w:val="41DB0F0D"/>
    <w:rsid w:val="420558C2"/>
    <w:rsid w:val="42057B28"/>
    <w:rsid w:val="421052B2"/>
    <w:rsid w:val="42190CC2"/>
    <w:rsid w:val="422F36E3"/>
    <w:rsid w:val="42391B89"/>
    <w:rsid w:val="42407C97"/>
    <w:rsid w:val="42433C14"/>
    <w:rsid w:val="42491125"/>
    <w:rsid w:val="425F740A"/>
    <w:rsid w:val="427A44C2"/>
    <w:rsid w:val="42880654"/>
    <w:rsid w:val="428D14EF"/>
    <w:rsid w:val="4296187E"/>
    <w:rsid w:val="42A65AF0"/>
    <w:rsid w:val="42AD56C6"/>
    <w:rsid w:val="42F300EE"/>
    <w:rsid w:val="42FF71DC"/>
    <w:rsid w:val="42FF7548"/>
    <w:rsid w:val="432B1FC3"/>
    <w:rsid w:val="434D155D"/>
    <w:rsid w:val="435E53D9"/>
    <w:rsid w:val="436454E1"/>
    <w:rsid w:val="437A0D2C"/>
    <w:rsid w:val="438607EE"/>
    <w:rsid w:val="43911F91"/>
    <w:rsid w:val="4394491A"/>
    <w:rsid w:val="43997A97"/>
    <w:rsid w:val="43A2197F"/>
    <w:rsid w:val="43BD5DE5"/>
    <w:rsid w:val="43D65E39"/>
    <w:rsid w:val="43D6606E"/>
    <w:rsid w:val="43FE3B45"/>
    <w:rsid w:val="441111D7"/>
    <w:rsid w:val="441303B5"/>
    <w:rsid w:val="4425132B"/>
    <w:rsid w:val="444C64B0"/>
    <w:rsid w:val="444D54BA"/>
    <w:rsid w:val="44742FDB"/>
    <w:rsid w:val="44861641"/>
    <w:rsid w:val="4496054C"/>
    <w:rsid w:val="449D508C"/>
    <w:rsid w:val="44B15AF7"/>
    <w:rsid w:val="44B36E39"/>
    <w:rsid w:val="44EC7013"/>
    <w:rsid w:val="44F02519"/>
    <w:rsid w:val="44FB3AE3"/>
    <w:rsid w:val="44FF3C64"/>
    <w:rsid w:val="45061393"/>
    <w:rsid w:val="450A44F7"/>
    <w:rsid w:val="45353B4F"/>
    <w:rsid w:val="453B7947"/>
    <w:rsid w:val="45427AA4"/>
    <w:rsid w:val="45515DC5"/>
    <w:rsid w:val="455454A2"/>
    <w:rsid w:val="45564CA5"/>
    <w:rsid w:val="45585FD3"/>
    <w:rsid w:val="455B6233"/>
    <w:rsid w:val="456A6A48"/>
    <w:rsid w:val="456C211B"/>
    <w:rsid w:val="45751837"/>
    <w:rsid w:val="457C3D14"/>
    <w:rsid w:val="45865E2C"/>
    <w:rsid w:val="45911A43"/>
    <w:rsid w:val="45A16423"/>
    <w:rsid w:val="45A24E61"/>
    <w:rsid w:val="45B457B5"/>
    <w:rsid w:val="45DE2657"/>
    <w:rsid w:val="45F10EC5"/>
    <w:rsid w:val="460F4303"/>
    <w:rsid w:val="462E7E70"/>
    <w:rsid w:val="463144E8"/>
    <w:rsid w:val="464E687C"/>
    <w:rsid w:val="466317E7"/>
    <w:rsid w:val="466E3CCD"/>
    <w:rsid w:val="4676381B"/>
    <w:rsid w:val="467744FD"/>
    <w:rsid w:val="46A746F1"/>
    <w:rsid w:val="46A9603F"/>
    <w:rsid w:val="46AF30F0"/>
    <w:rsid w:val="46D046FE"/>
    <w:rsid w:val="46E12276"/>
    <w:rsid w:val="46F03580"/>
    <w:rsid w:val="46F51A7F"/>
    <w:rsid w:val="47140188"/>
    <w:rsid w:val="4714637D"/>
    <w:rsid w:val="471517AC"/>
    <w:rsid w:val="471F4E9D"/>
    <w:rsid w:val="47280D0D"/>
    <w:rsid w:val="4745087C"/>
    <w:rsid w:val="475F0C6A"/>
    <w:rsid w:val="476B7898"/>
    <w:rsid w:val="47700B34"/>
    <w:rsid w:val="4778525E"/>
    <w:rsid w:val="477A6B40"/>
    <w:rsid w:val="47B32E9C"/>
    <w:rsid w:val="480B19F6"/>
    <w:rsid w:val="48212AE9"/>
    <w:rsid w:val="48397CB0"/>
    <w:rsid w:val="486C4CE7"/>
    <w:rsid w:val="48782345"/>
    <w:rsid w:val="489713C3"/>
    <w:rsid w:val="48A262B1"/>
    <w:rsid w:val="48A61EC2"/>
    <w:rsid w:val="48BA3284"/>
    <w:rsid w:val="48CB1CC0"/>
    <w:rsid w:val="49013C23"/>
    <w:rsid w:val="490A52ED"/>
    <w:rsid w:val="49163580"/>
    <w:rsid w:val="491E6E1E"/>
    <w:rsid w:val="491F7F64"/>
    <w:rsid w:val="492A1BD4"/>
    <w:rsid w:val="49582843"/>
    <w:rsid w:val="49733467"/>
    <w:rsid w:val="498B3EA5"/>
    <w:rsid w:val="49997039"/>
    <w:rsid w:val="49A418F2"/>
    <w:rsid w:val="49B73A15"/>
    <w:rsid w:val="49C8100A"/>
    <w:rsid w:val="49E70C5B"/>
    <w:rsid w:val="49FF2037"/>
    <w:rsid w:val="4A0A7F62"/>
    <w:rsid w:val="4A143C42"/>
    <w:rsid w:val="4A1D00AC"/>
    <w:rsid w:val="4A270A04"/>
    <w:rsid w:val="4A414188"/>
    <w:rsid w:val="4A47591B"/>
    <w:rsid w:val="4A4C4C82"/>
    <w:rsid w:val="4A6F608D"/>
    <w:rsid w:val="4A885CE1"/>
    <w:rsid w:val="4A9452E5"/>
    <w:rsid w:val="4A9F2D3A"/>
    <w:rsid w:val="4A9F49CA"/>
    <w:rsid w:val="4AA8466E"/>
    <w:rsid w:val="4ABE4F66"/>
    <w:rsid w:val="4ABF0894"/>
    <w:rsid w:val="4ACB6941"/>
    <w:rsid w:val="4ADB4E28"/>
    <w:rsid w:val="4AF16114"/>
    <w:rsid w:val="4AF51588"/>
    <w:rsid w:val="4AF75899"/>
    <w:rsid w:val="4AFA71F1"/>
    <w:rsid w:val="4B170E1E"/>
    <w:rsid w:val="4B1A46C6"/>
    <w:rsid w:val="4B2517BD"/>
    <w:rsid w:val="4B2C35A3"/>
    <w:rsid w:val="4B333D7A"/>
    <w:rsid w:val="4B3422A0"/>
    <w:rsid w:val="4B3D3D17"/>
    <w:rsid w:val="4B4D3A8C"/>
    <w:rsid w:val="4B5523AC"/>
    <w:rsid w:val="4B946474"/>
    <w:rsid w:val="4BA32825"/>
    <w:rsid w:val="4BB31E0A"/>
    <w:rsid w:val="4BC74E08"/>
    <w:rsid w:val="4BD07997"/>
    <w:rsid w:val="4BDF3E16"/>
    <w:rsid w:val="4BE0268A"/>
    <w:rsid w:val="4BFC6546"/>
    <w:rsid w:val="4C1003D8"/>
    <w:rsid w:val="4C352DA8"/>
    <w:rsid w:val="4C366477"/>
    <w:rsid w:val="4C38466F"/>
    <w:rsid w:val="4C5237AB"/>
    <w:rsid w:val="4C6F66E5"/>
    <w:rsid w:val="4C786851"/>
    <w:rsid w:val="4C942881"/>
    <w:rsid w:val="4CAF266F"/>
    <w:rsid w:val="4CC13ECD"/>
    <w:rsid w:val="4CD020F9"/>
    <w:rsid w:val="4CD53C2C"/>
    <w:rsid w:val="4D0B17EF"/>
    <w:rsid w:val="4D0E4802"/>
    <w:rsid w:val="4D2F7723"/>
    <w:rsid w:val="4D406BD1"/>
    <w:rsid w:val="4D5047B5"/>
    <w:rsid w:val="4D605A45"/>
    <w:rsid w:val="4D76573F"/>
    <w:rsid w:val="4D7C07CD"/>
    <w:rsid w:val="4D831E51"/>
    <w:rsid w:val="4DA02384"/>
    <w:rsid w:val="4DA44E4F"/>
    <w:rsid w:val="4DCE74AD"/>
    <w:rsid w:val="4DF521AC"/>
    <w:rsid w:val="4E0A2800"/>
    <w:rsid w:val="4E0D58C8"/>
    <w:rsid w:val="4E3D6F61"/>
    <w:rsid w:val="4E5079C5"/>
    <w:rsid w:val="4E623BD3"/>
    <w:rsid w:val="4E7906E7"/>
    <w:rsid w:val="4E837C45"/>
    <w:rsid w:val="4E90120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5328A1"/>
    <w:rsid w:val="4F545D86"/>
    <w:rsid w:val="4F9F682A"/>
    <w:rsid w:val="4FA14EEC"/>
    <w:rsid w:val="4FA84227"/>
    <w:rsid w:val="4FC231DA"/>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01CFF"/>
    <w:rsid w:val="51286AE9"/>
    <w:rsid w:val="516C5BB7"/>
    <w:rsid w:val="51881606"/>
    <w:rsid w:val="518E2820"/>
    <w:rsid w:val="51AC5137"/>
    <w:rsid w:val="51B463DB"/>
    <w:rsid w:val="51C31254"/>
    <w:rsid w:val="51C979DD"/>
    <w:rsid w:val="51DD29DF"/>
    <w:rsid w:val="520A22AE"/>
    <w:rsid w:val="52247A0F"/>
    <w:rsid w:val="52337DB7"/>
    <w:rsid w:val="52383966"/>
    <w:rsid w:val="52385792"/>
    <w:rsid w:val="523D42DD"/>
    <w:rsid w:val="523F6AFF"/>
    <w:rsid w:val="524F31BF"/>
    <w:rsid w:val="52514A0D"/>
    <w:rsid w:val="5273265C"/>
    <w:rsid w:val="52853336"/>
    <w:rsid w:val="52881D50"/>
    <w:rsid w:val="52991222"/>
    <w:rsid w:val="529B3EC4"/>
    <w:rsid w:val="529C7876"/>
    <w:rsid w:val="52DB19FD"/>
    <w:rsid w:val="52EE339D"/>
    <w:rsid w:val="5306292A"/>
    <w:rsid w:val="530822C8"/>
    <w:rsid w:val="533E1E81"/>
    <w:rsid w:val="536F3F83"/>
    <w:rsid w:val="536F7061"/>
    <w:rsid w:val="53703E8D"/>
    <w:rsid w:val="53707DDE"/>
    <w:rsid w:val="537E0058"/>
    <w:rsid w:val="53950AA6"/>
    <w:rsid w:val="53BF5670"/>
    <w:rsid w:val="53C502CE"/>
    <w:rsid w:val="53CD3C00"/>
    <w:rsid w:val="53D02F55"/>
    <w:rsid w:val="53E12D9E"/>
    <w:rsid w:val="53E64B1C"/>
    <w:rsid w:val="53E8652B"/>
    <w:rsid w:val="53EB486A"/>
    <w:rsid w:val="53EE67E9"/>
    <w:rsid w:val="53FD1C03"/>
    <w:rsid w:val="54020BC2"/>
    <w:rsid w:val="540310FA"/>
    <w:rsid w:val="54037045"/>
    <w:rsid w:val="540817F6"/>
    <w:rsid w:val="54270E2A"/>
    <w:rsid w:val="543E515D"/>
    <w:rsid w:val="543F413B"/>
    <w:rsid w:val="544B0D54"/>
    <w:rsid w:val="54591CDE"/>
    <w:rsid w:val="54625354"/>
    <w:rsid w:val="54984A43"/>
    <w:rsid w:val="54C557E7"/>
    <w:rsid w:val="54C65EC0"/>
    <w:rsid w:val="54D43100"/>
    <w:rsid w:val="552760F6"/>
    <w:rsid w:val="552A09F4"/>
    <w:rsid w:val="5532296D"/>
    <w:rsid w:val="555154EE"/>
    <w:rsid w:val="558F4A1E"/>
    <w:rsid w:val="55942252"/>
    <w:rsid w:val="55987FBD"/>
    <w:rsid w:val="559A4E37"/>
    <w:rsid w:val="55B41C64"/>
    <w:rsid w:val="55EC2897"/>
    <w:rsid w:val="55FA242D"/>
    <w:rsid w:val="56073E8B"/>
    <w:rsid w:val="5624057A"/>
    <w:rsid w:val="5630640C"/>
    <w:rsid w:val="5652511E"/>
    <w:rsid w:val="56543A0D"/>
    <w:rsid w:val="566B50BC"/>
    <w:rsid w:val="569E1AC8"/>
    <w:rsid w:val="56A4132F"/>
    <w:rsid w:val="56AC279F"/>
    <w:rsid w:val="56AF2E6F"/>
    <w:rsid w:val="56B4565D"/>
    <w:rsid w:val="56DC160C"/>
    <w:rsid w:val="56DF0963"/>
    <w:rsid w:val="56E2575C"/>
    <w:rsid w:val="56F37D3E"/>
    <w:rsid w:val="56F473C0"/>
    <w:rsid w:val="56FD3D8C"/>
    <w:rsid w:val="57065F83"/>
    <w:rsid w:val="57097BE4"/>
    <w:rsid w:val="570B6550"/>
    <w:rsid w:val="57196157"/>
    <w:rsid w:val="57484C26"/>
    <w:rsid w:val="5758628A"/>
    <w:rsid w:val="57617889"/>
    <w:rsid w:val="57713185"/>
    <w:rsid w:val="57745BB6"/>
    <w:rsid w:val="57855787"/>
    <w:rsid w:val="578A1BF3"/>
    <w:rsid w:val="57B02739"/>
    <w:rsid w:val="57BD6C04"/>
    <w:rsid w:val="57C51573"/>
    <w:rsid w:val="57D6036B"/>
    <w:rsid w:val="57DE28CC"/>
    <w:rsid w:val="57FF606E"/>
    <w:rsid w:val="580716CC"/>
    <w:rsid w:val="58220A26"/>
    <w:rsid w:val="58381DBD"/>
    <w:rsid w:val="58394C38"/>
    <w:rsid w:val="58423CCA"/>
    <w:rsid w:val="584B7C06"/>
    <w:rsid w:val="58510290"/>
    <w:rsid w:val="58553705"/>
    <w:rsid w:val="5855370B"/>
    <w:rsid w:val="58590F71"/>
    <w:rsid w:val="58B31DD9"/>
    <w:rsid w:val="58B91125"/>
    <w:rsid w:val="58C64CF3"/>
    <w:rsid w:val="58CB3B78"/>
    <w:rsid w:val="58D21B64"/>
    <w:rsid w:val="58E1168D"/>
    <w:rsid w:val="58F22C4C"/>
    <w:rsid w:val="590D2328"/>
    <w:rsid w:val="590F51DD"/>
    <w:rsid w:val="59232C0B"/>
    <w:rsid w:val="593A62F9"/>
    <w:rsid w:val="594D06B7"/>
    <w:rsid w:val="59600D8B"/>
    <w:rsid w:val="598D03EC"/>
    <w:rsid w:val="598D7696"/>
    <w:rsid w:val="59970566"/>
    <w:rsid w:val="59993E04"/>
    <w:rsid w:val="599C0038"/>
    <w:rsid w:val="59C35A05"/>
    <w:rsid w:val="59C43D4D"/>
    <w:rsid w:val="59C83A39"/>
    <w:rsid w:val="59FB18DA"/>
    <w:rsid w:val="5A1E308F"/>
    <w:rsid w:val="5A261DCD"/>
    <w:rsid w:val="5A361544"/>
    <w:rsid w:val="5A3F108A"/>
    <w:rsid w:val="5A5B363C"/>
    <w:rsid w:val="5A6D76C0"/>
    <w:rsid w:val="5A723A0D"/>
    <w:rsid w:val="5A762255"/>
    <w:rsid w:val="5A833B0D"/>
    <w:rsid w:val="5A9D621A"/>
    <w:rsid w:val="5AB17106"/>
    <w:rsid w:val="5AC219D6"/>
    <w:rsid w:val="5ACF40CD"/>
    <w:rsid w:val="5AFD3B96"/>
    <w:rsid w:val="5B0C640C"/>
    <w:rsid w:val="5B2D305D"/>
    <w:rsid w:val="5B443E9C"/>
    <w:rsid w:val="5B707739"/>
    <w:rsid w:val="5B956906"/>
    <w:rsid w:val="5BC92512"/>
    <w:rsid w:val="5BCE4EA4"/>
    <w:rsid w:val="5BD209C4"/>
    <w:rsid w:val="5BD637EC"/>
    <w:rsid w:val="5BDE5A43"/>
    <w:rsid w:val="5BE0323A"/>
    <w:rsid w:val="5C1B7F5F"/>
    <w:rsid w:val="5C34166A"/>
    <w:rsid w:val="5C4A36B7"/>
    <w:rsid w:val="5C4E44D4"/>
    <w:rsid w:val="5C5552A6"/>
    <w:rsid w:val="5CD7479C"/>
    <w:rsid w:val="5CE536CF"/>
    <w:rsid w:val="5CE568F8"/>
    <w:rsid w:val="5CF33064"/>
    <w:rsid w:val="5D0576C4"/>
    <w:rsid w:val="5D230368"/>
    <w:rsid w:val="5D255730"/>
    <w:rsid w:val="5D5667E0"/>
    <w:rsid w:val="5D580881"/>
    <w:rsid w:val="5D6261CB"/>
    <w:rsid w:val="5D8344FA"/>
    <w:rsid w:val="5DA13534"/>
    <w:rsid w:val="5DCB56EC"/>
    <w:rsid w:val="5DD3703F"/>
    <w:rsid w:val="5DE448D2"/>
    <w:rsid w:val="5DF441FF"/>
    <w:rsid w:val="5E1463C6"/>
    <w:rsid w:val="5E285722"/>
    <w:rsid w:val="5E3B4D31"/>
    <w:rsid w:val="5E3E65D1"/>
    <w:rsid w:val="5E4B7A1D"/>
    <w:rsid w:val="5E50050F"/>
    <w:rsid w:val="5E5C040B"/>
    <w:rsid w:val="5E5D04EF"/>
    <w:rsid w:val="5E68591D"/>
    <w:rsid w:val="5E731D18"/>
    <w:rsid w:val="5E742249"/>
    <w:rsid w:val="5E9E597C"/>
    <w:rsid w:val="5EA97C8F"/>
    <w:rsid w:val="5EED3932"/>
    <w:rsid w:val="5F0936DE"/>
    <w:rsid w:val="5F171517"/>
    <w:rsid w:val="5F62295E"/>
    <w:rsid w:val="5F700C2B"/>
    <w:rsid w:val="5F7D16C2"/>
    <w:rsid w:val="5F892553"/>
    <w:rsid w:val="5F8C26A4"/>
    <w:rsid w:val="5FAB77AE"/>
    <w:rsid w:val="5FB301BB"/>
    <w:rsid w:val="600A6271"/>
    <w:rsid w:val="60357E4D"/>
    <w:rsid w:val="6046706E"/>
    <w:rsid w:val="60492B3E"/>
    <w:rsid w:val="60565E64"/>
    <w:rsid w:val="6089047C"/>
    <w:rsid w:val="608D4CE3"/>
    <w:rsid w:val="60A859A2"/>
    <w:rsid w:val="60AB29AA"/>
    <w:rsid w:val="60AC67BD"/>
    <w:rsid w:val="60C06489"/>
    <w:rsid w:val="60CE2A0E"/>
    <w:rsid w:val="60D13AF2"/>
    <w:rsid w:val="61194DA2"/>
    <w:rsid w:val="61204933"/>
    <w:rsid w:val="612354B4"/>
    <w:rsid w:val="61351A56"/>
    <w:rsid w:val="613F62A8"/>
    <w:rsid w:val="61415F87"/>
    <w:rsid w:val="615A223E"/>
    <w:rsid w:val="615B47A6"/>
    <w:rsid w:val="616435A6"/>
    <w:rsid w:val="619940E6"/>
    <w:rsid w:val="61A6014E"/>
    <w:rsid w:val="61D63921"/>
    <w:rsid w:val="61DB724C"/>
    <w:rsid w:val="61F439C5"/>
    <w:rsid w:val="61F443E9"/>
    <w:rsid w:val="61F61B0C"/>
    <w:rsid w:val="62213533"/>
    <w:rsid w:val="62270D05"/>
    <w:rsid w:val="62282D1D"/>
    <w:rsid w:val="62461BF2"/>
    <w:rsid w:val="62607426"/>
    <w:rsid w:val="62867444"/>
    <w:rsid w:val="629D7EE8"/>
    <w:rsid w:val="62BC107A"/>
    <w:rsid w:val="62C73A65"/>
    <w:rsid w:val="62D50998"/>
    <w:rsid w:val="62E7507D"/>
    <w:rsid w:val="62F67597"/>
    <w:rsid w:val="630C34D0"/>
    <w:rsid w:val="631E48B7"/>
    <w:rsid w:val="6322080B"/>
    <w:rsid w:val="63424F7E"/>
    <w:rsid w:val="635F6BBD"/>
    <w:rsid w:val="6388340F"/>
    <w:rsid w:val="638F7AFC"/>
    <w:rsid w:val="639215D8"/>
    <w:rsid w:val="63A36BE5"/>
    <w:rsid w:val="63C04B8A"/>
    <w:rsid w:val="63D42229"/>
    <w:rsid w:val="63D8474D"/>
    <w:rsid w:val="63DB746A"/>
    <w:rsid w:val="63E5033D"/>
    <w:rsid w:val="63EE162B"/>
    <w:rsid w:val="63F75B8A"/>
    <w:rsid w:val="640310C7"/>
    <w:rsid w:val="64155C8D"/>
    <w:rsid w:val="641B0760"/>
    <w:rsid w:val="641E1DE4"/>
    <w:rsid w:val="64203CB4"/>
    <w:rsid w:val="64222857"/>
    <w:rsid w:val="64335EB1"/>
    <w:rsid w:val="643519B3"/>
    <w:rsid w:val="64433CD0"/>
    <w:rsid w:val="64495F72"/>
    <w:rsid w:val="644B25BC"/>
    <w:rsid w:val="64580D33"/>
    <w:rsid w:val="647F6D16"/>
    <w:rsid w:val="6498217B"/>
    <w:rsid w:val="64987FF4"/>
    <w:rsid w:val="64A473F3"/>
    <w:rsid w:val="64D0513C"/>
    <w:rsid w:val="64EB1866"/>
    <w:rsid w:val="64F702F2"/>
    <w:rsid w:val="651424EE"/>
    <w:rsid w:val="65257BC1"/>
    <w:rsid w:val="65287A29"/>
    <w:rsid w:val="65537EF9"/>
    <w:rsid w:val="655E1155"/>
    <w:rsid w:val="655F4773"/>
    <w:rsid w:val="65636455"/>
    <w:rsid w:val="65A240BE"/>
    <w:rsid w:val="65A273A9"/>
    <w:rsid w:val="65A924D2"/>
    <w:rsid w:val="65AE5114"/>
    <w:rsid w:val="65B61DD9"/>
    <w:rsid w:val="65BB5075"/>
    <w:rsid w:val="65C0580D"/>
    <w:rsid w:val="65C76D0B"/>
    <w:rsid w:val="65CB5A52"/>
    <w:rsid w:val="65D23BC4"/>
    <w:rsid w:val="65FE41D7"/>
    <w:rsid w:val="662861DC"/>
    <w:rsid w:val="66286B79"/>
    <w:rsid w:val="66306F43"/>
    <w:rsid w:val="66326E97"/>
    <w:rsid w:val="663F4723"/>
    <w:rsid w:val="664615E7"/>
    <w:rsid w:val="665265F4"/>
    <w:rsid w:val="66634353"/>
    <w:rsid w:val="66943E18"/>
    <w:rsid w:val="6699652A"/>
    <w:rsid w:val="66A42A73"/>
    <w:rsid w:val="66A8727B"/>
    <w:rsid w:val="66A93110"/>
    <w:rsid w:val="66AC664F"/>
    <w:rsid w:val="66AF2B2C"/>
    <w:rsid w:val="66B027C1"/>
    <w:rsid w:val="66B41A4A"/>
    <w:rsid w:val="66DB2A60"/>
    <w:rsid w:val="66EC68BC"/>
    <w:rsid w:val="66F0190D"/>
    <w:rsid w:val="66F74A7C"/>
    <w:rsid w:val="67064E16"/>
    <w:rsid w:val="670B0EC0"/>
    <w:rsid w:val="670F0B32"/>
    <w:rsid w:val="672833FF"/>
    <w:rsid w:val="67447CAA"/>
    <w:rsid w:val="67603184"/>
    <w:rsid w:val="676569B0"/>
    <w:rsid w:val="676E53AF"/>
    <w:rsid w:val="6772565E"/>
    <w:rsid w:val="67830DB6"/>
    <w:rsid w:val="679C72E6"/>
    <w:rsid w:val="679D7D9D"/>
    <w:rsid w:val="67A16316"/>
    <w:rsid w:val="67B52945"/>
    <w:rsid w:val="67B84A87"/>
    <w:rsid w:val="67D5396B"/>
    <w:rsid w:val="67E24A58"/>
    <w:rsid w:val="67E76177"/>
    <w:rsid w:val="67E967D4"/>
    <w:rsid w:val="67EA1DE2"/>
    <w:rsid w:val="67F51F5D"/>
    <w:rsid w:val="681C0F9C"/>
    <w:rsid w:val="68280A59"/>
    <w:rsid w:val="685448E5"/>
    <w:rsid w:val="68567ADB"/>
    <w:rsid w:val="685A52F7"/>
    <w:rsid w:val="686301D2"/>
    <w:rsid w:val="686F32ED"/>
    <w:rsid w:val="68763CFB"/>
    <w:rsid w:val="68775B46"/>
    <w:rsid w:val="689E6C51"/>
    <w:rsid w:val="68AB1911"/>
    <w:rsid w:val="68AC7864"/>
    <w:rsid w:val="68BD141F"/>
    <w:rsid w:val="68C2312F"/>
    <w:rsid w:val="68CC74D0"/>
    <w:rsid w:val="68D04302"/>
    <w:rsid w:val="68DD058C"/>
    <w:rsid w:val="68E84B74"/>
    <w:rsid w:val="690300E6"/>
    <w:rsid w:val="691F004A"/>
    <w:rsid w:val="692563EE"/>
    <w:rsid w:val="692D6BB4"/>
    <w:rsid w:val="69456602"/>
    <w:rsid w:val="6965727E"/>
    <w:rsid w:val="69785369"/>
    <w:rsid w:val="697B19FC"/>
    <w:rsid w:val="699F6F59"/>
    <w:rsid w:val="69C62E9A"/>
    <w:rsid w:val="69D9569F"/>
    <w:rsid w:val="69F076EC"/>
    <w:rsid w:val="6A0C4C59"/>
    <w:rsid w:val="6A0C7811"/>
    <w:rsid w:val="6A0D3432"/>
    <w:rsid w:val="6A0E77F1"/>
    <w:rsid w:val="6A3001E9"/>
    <w:rsid w:val="6A55161C"/>
    <w:rsid w:val="6A65568E"/>
    <w:rsid w:val="6A8213EE"/>
    <w:rsid w:val="6A9553FE"/>
    <w:rsid w:val="6AC30E38"/>
    <w:rsid w:val="6ADB66AC"/>
    <w:rsid w:val="6ADD74FD"/>
    <w:rsid w:val="6AE3471E"/>
    <w:rsid w:val="6AEE0C73"/>
    <w:rsid w:val="6B3816B9"/>
    <w:rsid w:val="6B570F9E"/>
    <w:rsid w:val="6B704D44"/>
    <w:rsid w:val="6B7A4A17"/>
    <w:rsid w:val="6B7F1BF6"/>
    <w:rsid w:val="6B9512FD"/>
    <w:rsid w:val="6BB554FE"/>
    <w:rsid w:val="6BB87BB7"/>
    <w:rsid w:val="6BC12EDC"/>
    <w:rsid w:val="6BE255D8"/>
    <w:rsid w:val="6BE76A97"/>
    <w:rsid w:val="6BF056A3"/>
    <w:rsid w:val="6BF43FAF"/>
    <w:rsid w:val="6BFB78C8"/>
    <w:rsid w:val="6BFE61C2"/>
    <w:rsid w:val="6C0309D8"/>
    <w:rsid w:val="6C1363EA"/>
    <w:rsid w:val="6C1F175D"/>
    <w:rsid w:val="6C3708AC"/>
    <w:rsid w:val="6C3E480C"/>
    <w:rsid w:val="6C4A348A"/>
    <w:rsid w:val="6C4A4478"/>
    <w:rsid w:val="6C5002D5"/>
    <w:rsid w:val="6C777224"/>
    <w:rsid w:val="6C83219C"/>
    <w:rsid w:val="6C833B41"/>
    <w:rsid w:val="6C9803A4"/>
    <w:rsid w:val="6CD323B8"/>
    <w:rsid w:val="6CF33107"/>
    <w:rsid w:val="6D243939"/>
    <w:rsid w:val="6D3125B4"/>
    <w:rsid w:val="6D447778"/>
    <w:rsid w:val="6D4A5F2F"/>
    <w:rsid w:val="6D620170"/>
    <w:rsid w:val="6D777E6B"/>
    <w:rsid w:val="6D84645E"/>
    <w:rsid w:val="6D8807AB"/>
    <w:rsid w:val="6D8F437E"/>
    <w:rsid w:val="6D990245"/>
    <w:rsid w:val="6D997573"/>
    <w:rsid w:val="6DA026C8"/>
    <w:rsid w:val="6DB46943"/>
    <w:rsid w:val="6DC62455"/>
    <w:rsid w:val="6E035FBA"/>
    <w:rsid w:val="6E123F60"/>
    <w:rsid w:val="6E130BF0"/>
    <w:rsid w:val="6E4D7D3F"/>
    <w:rsid w:val="6E5231A4"/>
    <w:rsid w:val="6E5A398A"/>
    <w:rsid w:val="6E5A40EE"/>
    <w:rsid w:val="6E671D27"/>
    <w:rsid w:val="6E7D48F4"/>
    <w:rsid w:val="6E9C16AF"/>
    <w:rsid w:val="6E9D390D"/>
    <w:rsid w:val="6ED22CDD"/>
    <w:rsid w:val="6EE10B05"/>
    <w:rsid w:val="6F0472BB"/>
    <w:rsid w:val="6F18644A"/>
    <w:rsid w:val="6F206808"/>
    <w:rsid w:val="6F214F5F"/>
    <w:rsid w:val="6F537CC8"/>
    <w:rsid w:val="6F5B3B07"/>
    <w:rsid w:val="6F6000F3"/>
    <w:rsid w:val="6F7A7501"/>
    <w:rsid w:val="6F7C0176"/>
    <w:rsid w:val="6FAB7D95"/>
    <w:rsid w:val="6FAD23B4"/>
    <w:rsid w:val="6FAD5E72"/>
    <w:rsid w:val="6FBD7D61"/>
    <w:rsid w:val="6FC42EAB"/>
    <w:rsid w:val="6FD101F3"/>
    <w:rsid w:val="6FE54985"/>
    <w:rsid w:val="6FEC7554"/>
    <w:rsid w:val="6FF1283A"/>
    <w:rsid w:val="70563262"/>
    <w:rsid w:val="705873A3"/>
    <w:rsid w:val="707B1DA1"/>
    <w:rsid w:val="709910D5"/>
    <w:rsid w:val="70AF0FA5"/>
    <w:rsid w:val="70D216D3"/>
    <w:rsid w:val="71534AAE"/>
    <w:rsid w:val="716C54B9"/>
    <w:rsid w:val="717A16B9"/>
    <w:rsid w:val="717C638C"/>
    <w:rsid w:val="719B216D"/>
    <w:rsid w:val="71B752EE"/>
    <w:rsid w:val="71C66F16"/>
    <w:rsid w:val="71DB12A7"/>
    <w:rsid w:val="71E619D1"/>
    <w:rsid w:val="72076DCF"/>
    <w:rsid w:val="72106F1F"/>
    <w:rsid w:val="722D57C7"/>
    <w:rsid w:val="724062B5"/>
    <w:rsid w:val="72491CAB"/>
    <w:rsid w:val="724A0704"/>
    <w:rsid w:val="724F46F0"/>
    <w:rsid w:val="7255143F"/>
    <w:rsid w:val="726436E6"/>
    <w:rsid w:val="72700C83"/>
    <w:rsid w:val="727E6483"/>
    <w:rsid w:val="728453D5"/>
    <w:rsid w:val="72935827"/>
    <w:rsid w:val="729B79DD"/>
    <w:rsid w:val="72BB1BA7"/>
    <w:rsid w:val="72D051AC"/>
    <w:rsid w:val="72D05F60"/>
    <w:rsid w:val="72ED426C"/>
    <w:rsid w:val="72F91A90"/>
    <w:rsid w:val="731C314C"/>
    <w:rsid w:val="732927A3"/>
    <w:rsid w:val="734333B2"/>
    <w:rsid w:val="734E63BA"/>
    <w:rsid w:val="73607959"/>
    <w:rsid w:val="73826B32"/>
    <w:rsid w:val="73A34F4F"/>
    <w:rsid w:val="73A44B11"/>
    <w:rsid w:val="73B02110"/>
    <w:rsid w:val="73CE0E30"/>
    <w:rsid w:val="73F95D4E"/>
    <w:rsid w:val="74044161"/>
    <w:rsid w:val="74194164"/>
    <w:rsid w:val="741C0ACA"/>
    <w:rsid w:val="742D6B25"/>
    <w:rsid w:val="744446C4"/>
    <w:rsid w:val="74524A6C"/>
    <w:rsid w:val="745D46B6"/>
    <w:rsid w:val="747E2170"/>
    <w:rsid w:val="74994FF2"/>
    <w:rsid w:val="74A93ADB"/>
    <w:rsid w:val="74AB764B"/>
    <w:rsid w:val="74BA0C6B"/>
    <w:rsid w:val="74BB501E"/>
    <w:rsid w:val="74EE31EA"/>
    <w:rsid w:val="74F227D5"/>
    <w:rsid w:val="74F479DA"/>
    <w:rsid w:val="74FA2880"/>
    <w:rsid w:val="75100B8F"/>
    <w:rsid w:val="75225CBF"/>
    <w:rsid w:val="75350693"/>
    <w:rsid w:val="75460C0C"/>
    <w:rsid w:val="7546677D"/>
    <w:rsid w:val="754B2AC0"/>
    <w:rsid w:val="754D466C"/>
    <w:rsid w:val="754F4CC4"/>
    <w:rsid w:val="756E0B0A"/>
    <w:rsid w:val="757031D9"/>
    <w:rsid w:val="75814167"/>
    <w:rsid w:val="75842DFC"/>
    <w:rsid w:val="75A667A1"/>
    <w:rsid w:val="75B9416A"/>
    <w:rsid w:val="75BE0722"/>
    <w:rsid w:val="75C247F2"/>
    <w:rsid w:val="75CD7BB5"/>
    <w:rsid w:val="75DB5451"/>
    <w:rsid w:val="75E9665D"/>
    <w:rsid w:val="76437D02"/>
    <w:rsid w:val="765120A6"/>
    <w:rsid w:val="76724739"/>
    <w:rsid w:val="767F05D4"/>
    <w:rsid w:val="76894CC3"/>
    <w:rsid w:val="76BF7D3D"/>
    <w:rsid w:val="76C52AEB"/>
    <w:rsid w:val="76D264D4"/>
    <w:rsid w:val="76E955C3"/>
    <w:rsid w:val="76FD43AC"/>
    <w:rsid w:val="77123ACC"/>
    <w:rsid w:val="77247924"/>
    <w:rsid w:val="772B1B20"/>
    <w:rsid w:val="77510935"/>
    <w:rsid w:val="77634F3B"/>
    <w:rsid w:val="77D36332"/>
    <w:rsid w:val="77D62A56"/>
    <w:rsid w:val="77E62733"/>
    <w:rsid w:val="77F84B71"/>
    <w:rsid w:val="780E1955"/>
    <w:rsid w:val="78293DC3"/>
    <w:rsid w:val="782D2D9B"/>
    <w:rsid w:val="782F7B31"/>
    <w:rsid w:val="783A6B2F"/>
    <w:rsid w:val="783F4F70"/>
    <w:rsid w:val="785B4C20"/>
    <w:rsid w:val="785D218D"/>
    <w:rsid w:val="78965720"/>
    <w:rsid w:val="78AB4E34"/>
    <w:rsid w:val="78B8567C"/>
    <w:rsid w:val="78D62FC2"/>
    <w:rsid w:val="78F7615B"/>
    <w:rsid w:val="78FD2962"/>
    <w:rsid w:val="791F52E2"/>
    <w:rsid w:val="792063BD"/>
    <w:rsid w:val="79307089"/>
    <w:rsid w:val="79373219"/>
    <w:rsid w:val="794625CC"/>
    <w:rsid w:val="794A4288"/>
    <w:rsid w:val="794C7980"/>
    <w:rsid w:val="7954036F"/>
    <w:rsid w:val="7963139E"/>
    <w:rsid w:val="798B23A6"/>
    <w:rsid w:val="79934622"/>
    <w:rsid w:val="79A86542"/>
    <w:rsid w:val="79BE5E62"/>
    <w:rsid w:val="79D00261"/>
    <w:rsid w:val="79D72059"/>
    <w:rsid w:val="79E92F86"/>
    <w:rsid w:val="79EC33C3"/>
    <w:rsid w:val="7A1C1793"/>
    <w:rsid w:val="7A1C4DC7"/>
    <w:rsid w:val="7A3A078E"/>
    <w:rsid w:val="7A45124E"/>
    <w:rsid w:val="7A4C7BCA"/>
    <w:rsid w:val="7A7F307F"/>
    <w:rsid w:val="7A850292"/>
    <w:rsid w:val="7A864059"/>
    <w:rsid w:val="7A991285"/>
    <w:rsid w:val="7AAC03BC"/>
    <w:rsid w:val="7AB2157C"/>
    <w:rsid w:val="7AB5655C"/>
    <w:rsid w:val="7AC179AB"/>
    <w:rsid w:val="7AC528C4"/>
    <w:rsid w:val="7ACE4545"/>
    <w:rsid w:val="7AE80992"/>
    <w:rsid w:val="7AE9752E"/>
    <w:rsid w:val="7AEC1055"/>
    <w:rsid w:val="7AF51135"/>
    <w:rsid w:val="7AFE078F"/>
    <w:rsid w:val="7B0320BB"/>
    <w:rsid w:val="7B1E43DB"/>
    <w:rsid w:val="7B1E76B6"/>
    <w:rsid w:val="7B5204F9"/>
    <w:rsid w:val="7B6E3852"/>
    <w:rsid w:val="7B745405"/>
    <w:rsid w:val="7BC4009E"/>
    <w:rsid w:val="7BC8745E"/>
    <w:rsid w:val="7BCD7043"/>
    <w:rsid w:val="7BDA2B39"/>
    <w:rsid w:val="7BE60252"/>
    <w:rsid w:val="7BFD2FC3"/>
    <w:rsid w:val="7C274E7E"/>
    <w:rsid w:val="7C280E42"/>
    <w:rsid w:val="7C7F4F3C"/>
    <w:rsid w:val="7C9C55B4"/>
    <w:rsid w:val="7CA544A2"/>
    <w:rsid w:val="7CA8595E"/>
    <w:rsid w:val="7CB347D7"/>
    <w:rsid w:val="7CCD67D7"/>
    <w:rsid w:val="7CE21673"/>
    <w:rsid w:val="7CE2570E"/>
    <w:rsid w:val="7CF45745"/>
    <w:rsid w:val="7D4033FD"/>
    <w:rsid w:val="7D4D5856"/>
    <w:rsid w:val="7D537A55"/>
    <w:rsid w:val="7D6903CE"/>
    <w:rsid w:val="7D737A9C"/>
    <w:rsid w:val="7DA1632A"/>
    <w:rsid w:val="7DAA16F6"/>
    <w:rsid w:val="7DB97D96"/>
    <w:rsid w:val="7DE14EF9"/>
    <w:rsid w:val="7DF16A19"/>
    <w:rsid w:val="7E183EEA"/>
    <w:rsid w:val="7E194EBD"/>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F0A6F2E"/>
    <w:rsid w:val="7F21551C"/>
    <w:rsid w:val="7F251450"/>
    <w:rsid w:val="7F381A47"/>
    <w:rsid w:val="7F3932D6"/>
    <w:rsid w:val="7F3B3199"/>
    <w:rsid w:val="7F3D07F6"/>
    <w:rsid w:val="7F4D23DA"/>
    <w:rsid w:val="7F613C7E"/>
    <w:rsid w:val="7F827F3A"/>
    <w:rsid w:val="7F912BF1"/>
    <w:rsid w:val="7FA4150B"/>
    <w:rsid w:val="7FA61A8E"/>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C44FC"/>
  <w15:docId w15:val="{ADDE1332-7EB4-4FDF-90AF-9DD4D2EE7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List" w:qFormat="1"/>
    <w:lsdException w:name="List 2" w:uiPriority="99"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qFormat/>
  </w:style>
  <w:style w:type="paragraph" w:styleId="a5">
    <w:name w:val="Body Text"/>
    <w:basedOn w:val="a"/>
    <w:qFormat/>
    <w:pPr>
      <w:spacing w:after="120"/>
      <w:jc w:val="both"/>
    </w:pPr>
    <w:rPr>
      <w:rFonts w:eastAsia="MS Mincho"/>
    </w:rPr>
  </w:style>
  <w:style w:type="paragraph" w:styleId="21">
    <w:name w:val="List 2"/>
    <w:basedOn w:val="a6"/>
    <w:uiPriority w:val="99"/>
    <w:qFormat/>
    <w:pPr>
      <w:ind w:left="851"/>
    </w:pPr>
  </w:style>
  <w:style w:type="paragraph" w:styleId="a6">
    <w:name w:val="List"/>
    <w:basedOn w:val="a"/>
    <w:qFormat/>
    <w:pPr>
      <w:ind w:left="568" w:hanging="284"/>
    </w:pPr>
  </w:style>
  <w:style w:type="paragraph" w:styleId="80">
    <w:name w:val="toc 8"/>
    <w:basedOn w:val="10"/>
    <w:next w:val="a"/>
    <w:uiPriority w:val="39"/>
    <w:qFormat/>
    <w:pPr>
      <w:spacing w:before="180"/>
      <w:ind w:left="2693" w:hanging="2693"/>
    </w:pPr>
    <w:rPr>
      <w:b/>
    </w:rPr>
  </w:style>
  <w:style w:type="paragraph" w:styleId="a7">
    <w:name w:val="Balloon Text"/>
    <w:basedOn w:val="a"/>
    <w:link w:val="a8"/>
    <w:qFormat/>
    <w:pPr>
      <w:spacing w:after="0"/>
    </w:pPr>
    <w:rPr>
      <w:rFonts w:ascii="Segoe UI" w:hAnsi="Segoe UI" w:cs="Segoe UI"/>
      <w:sz w:val="18"/>
      <w:szCs w:val="18"/>
    </w:rPr>
  </w:style>
  <w:style w:type="paragraph" w:styleId="a9">
    <w:name w:val="footer"/>
    <w:basedOn w:val="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qFormat/>
  </w:style>
  <w:style w:type="character" w:styleId="ad">
    <w:name w:val="FollowedHyperlink"/>
    <w:basedOn w:val="a0"/>
    <w:qFormat/>
    <w:rPr>
      <w:color w:val="954F72" w:themeColor="followedHyperlink"/>
      <w:u w:val="single"/>
    </w:rPr>
  </w:style>
  <w:style w:type="character" w:styleId="ae">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6"/>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1"/>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8">
    <w:name w:val="批注框文本 字符"/>
    <w:link w:val="a7"/>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
    <w:name w:val="List Paragraph"/>
    <w:basedOn w:val="a"/>
    <w:link w:val="af0"/>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f0">
    <w:name w:val="列出段落 字符"/>
    <w:link w:val="af"/>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ilvl w:val="1"/>
        <w:numId w:val="1"/>
      </w:numPr>
      <w:ind w:left="431" w:hanging="431"/>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 w:type="paragraph" w:customStyle="1" w:styleId="Reference">
    <w:name w:val="Reference"/>
    <w:basedOn w:val="a"/>
    <w:qFormat/>
    <w:pPr>
      <w:spacing w:after="0"/>
      <w:ind w:left="567" w:hanging="283"/>
    </w:pPr>
    <w:rPr>
      <w:lang w:eastAsia="en-GB"/>
    </w:rPr>
  </w:style>
  <w:style w:type="paragraph" w:customStyle="1" w:styleId="31">
    <w:name w:val="正文3"/>
    <w:qFormat/>
    <w:pPr>
      <w:spacing w:before="120" w:after="120"/>
    </w:pPr>
    <w:rPr>
      <w:rFonts w:eastAsia="等线"/>
      <w:kern w:val="2"/>
    </w:rPr>
  </w:style>
  <w:style w:type="paragraph" w:customStyle="1" w:styleId="B1">
    <w:name w:val="B1+"/>
    <w:basedOn w:val="a"/>
    <w:qFormat/>
    <w:pPr>
      <w:numPr>
        <w:numId w:val="3"/>
      </w:numPr>
      <w:overflowPunct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B0CD5-C5E1-4DD1-97BA-3C1150992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Pages>
  <Words>1909</Words>
  <Characters>10886</Characters>
  <Application>Microsoft Office Word</Application>
  <DocSecurity>0</DocSecurity>
  <Lines>90</Lines>
  <Paragraphs>25</Paragraphs>
  <ScaleCrop>false</ScaleCrop>
  <Company>ETSI</Company>
  <LinksUpToDate>false</LinksUpToDate>
  <CharactersWithSpaces>12770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Derrick</cp:lastModifiedBy>
  <cp:revision>40</cp:revision>
  <cp:lastPrinted>2019-02-25T14:05:00Z</cp:lastPrinted>
  <dcterms:created xsi:type="dcterms:W3CDTF">2020-12-08T14:50:00Z</dcterms:created>
  <dcterms:modified xsi:type="dcterms:W3CDTF">2024-02-19T10:05:00Z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D6ACEDBDCEFC4B5D82CE96552270E92B</vt:lpwstr>
  </property>
</Properties>
</file>